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0" w:leftChars="0" w:firstLine="0" w:firstLineChars="0"/>
        <w:jc w:val="center"/>
        <w:rPr>
          <w:rFonts w:hint="eastAsia" w:ascii="宋体" w:hAnsi="宋体" w:eastAsia="宋体" w:cs="宋体"/>
          <w:bCs/>
          <w:sz w:val="44"/>
          <w:szCs w:val="44"/>
          <w:lang w:eastAsia="zh-CN"/>
        </w:rPr>
      </w:pPr>
      <w:r>
        <w:rPr>
          <w:rFonts w:hint="eastAsia" w:ascii="小标宋" w:hAnsi="小标宋" w:eastAsia="小标宋" w:cs="小标宋"/>
          <w:sz w:val="44"/>
          <w:szCs w:val="44"/>
        </w:rPr>
        <w:t>2023年江西省“振兴杯”职业技能大赛</w:t>
      </w:r>
    </w:p>
    <w:p>
      <w:pPr>
        <w:spacing w:line="240" w:lineRule="auto"/>
        <w:ind w:left="0" w:leftChars="0" w:firstLine="0" w:firstLineChars="0"/>
        <w:jc w:val="center"/>
        <w:outlineLvl w:val="0"/>
        <w:rPr>
          <w:rFonts w:hint="default" w:ascii="小标宋" w:hAnsi="小标宋" w:eastAsia="小标宋" w:cs="小标宋"/>
          <w:sz w:val="44"/>
          <w:szCs w:val="44"/>
          <w:lang w:val="en-US" w:eastAsia="zh-CN"/>
        </w:rPr>
      </w:pPr>
      <w:bookmarkStart w:id="0" w:name="_Toc3011"/>
      <w:bookmarkStart w:id="1" w:name="_Toc2526"/>
      <w:bookmarkStart w:id="2" w:name="_Toc19470"/>
      <w:r>
        <w:rPr>
          <w:rFonts w:hint="eastAsia" w:ascii="小标宋" w:hAnsi="小标宋" w:eastAsia="小标宋" w:cs="小标宋"/>
          <w:sz w:val="44"/>
          <w:szCs w:val="44"/>
          <w:lang w:eastAsia="zh-CN"/>
        </w:rPr>
        <w:t>安全防范系统安装维护员</w:t>
      </w: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项目</w:t>
      </w:r>
      <w:bookmarkEnd w:id="0"/>
      <w:bookmarkEnd w:id="1"/>
      <w:bookmarkEnd w:id="2"/>
    </w:p>
    <w:p>
      <w:pPr>
        <w:spacing w:line="240" w:lineRule="auto"/>
        <w:ind w:left="0" w:leftChars="0" w:firstLine="0" w:firstLineChars="0"/>
        <w:jc w:val="center"/>
        <w:rPr>
          <w:rFonts w:hint="eastAsia" w:ascii="小标宋" w:hAnsi="小标宋" w:eastAsia="小标宋" w:cs="小标宋"/>
          <w:sz w:val="44"/>
          <w:szCs w:val="44"/>
          <w:lang w:eastAsia="zh-CN"/>
        </w:rPr>
      </w:pPr>
    </w:p>
    <w:p>
      <w:pPr>
        <w:spacing w:line="240" w:lineRule="auto"/>
        <w:ind w:left="0" w:leftChars="0" w:firstLine="0" w:firstLineChars="0"/>
        <w:jc w:val="both"/>
        <w:rPr>
          <w:rFonts w:hint="eastAsia" w:ascii="小标宋" w:hAnsi="小标宋" w:eastAsia="小标宋" w:cs="小标宋"/>
          <w:sz w:val="44"/>
          <w:szCs w:val="44"/>
          <w:lang w:eastAsia="zh-CN"/>
        </w:rPr>
      </w:pPr>
      <w:bookmarkStart w:id="111" w:name="_GoBack"/>
      <w:bookmarkEnd w:id="111"/>
    </w:p>
    <w:p>
      <w:pPr>
        <w:pStyle w:val="9"/>
        <w:rPr>
          <w:rFonts w:hint="eastAsia"/>
          <w:lang w:eastAsia="zh-CN"/>
        </w:rPr>
      </w:pPr>
    </w:p>
    <w:p>
      <w:pPr>
        <w:spacing w:line="240" w:lineRule="auto"/>
        <w:ind w:left="0" w:leftChars="0" w:firstLine="0" w:firstLineChars="0"/>
        <w:jc w:val="center"/>
        <w:rPr>
          <w:rFonts w:hint="eastAsia" w:ascii="小标宋" w:hAnsi="小标宋" w:eastAsia="小标宋" w:cs="小标宋"/>
          <w:sz w:val="44"/>
          <w:szCs w:val="44"/>
          <w:lang w:eastAsia="zh-CN"/>
        </w:rPr>
      </w:pPr>
      <w:r>
        <w:rPr>
          <w:rFonts w:hint="eastAsia" w:ascii="小标宋" w:hAnsi="小标宋" w:eastAsia="小标宋" w:cs="小标宋"/>
          <w:sz w:val="44"/>
          <w:szCs w:val="44"/>
          <w:lang w:eastAsia="zh-CN"/>
        </w:rPr>
        <w:t>技术工作文件</w:t>
      </w:r>
    </w:p>
    <w:p>
      <w:pPr>
        <w:spacing w:line="240" w:lineRule="auto"/>
        <w:ind w:firstLine="875"/>
        <w:jc w:val="center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spacing w:line="240" w:lineRule="auto"/>
        <w:ind w:firstLine="875"/>
        <w:jc w:val="center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spacing w:line="240" w:lineRule="auto"/>
        <w:ind w:firstLine="875"/>
        <w:jc w:val="center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spacing w:line="240" w:lineRule="auto"/>
        <w:ind w:firstLine="875"/>
        <w:jc w:val="center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spacing w:line="240" w:lineRule="auto"/>
        <w:ind w:firstLine="875"/>
        <w:jc w:val="center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spacing w:line="240" w:lineRule="auto"/>
        <w:ind w:firstLine="875"/>
        <w:jc w:val="center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pStyle w:val="9"/>
        <w:jc w:val="center"/>
        <w:rPr>
          <w:rFonts w:hint="default" w:ascii="宋体" w:hAnsi="宋体" w:eastAsia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2023年8月</w:t>
      </w:r>
    </w:p>
    <w:p>
      <w:pPr>
        <w:ind w:firstLine="875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pStyle w:val="9"/>
        <w:ind w:firstLine="438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ind w:left="0" w:leftChars="0" w:firstLine="0" w:firstLineChars="0"/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br w:type="page"/>
      </w:r>
    </w:p>
    <w:sdt>
      <w:sdtPr>
        <w:rPr>
          <w:rFonts w:ascii="宋体" w:hAnsi="宋体" w:eastAsia="宋体" w:cs="Times New Roman"/>
          <w:b/>
          <w:bCs/>
          <w:color w:val="000000"/>
          <w:kern w:val="0"/>
          <w:sz w:val="32"/>
          <w:szCs w:val="32"/>
          <w:lang w:val="en-US" w:eastAsia="en-US" w:bidi="en-US"/>
        </w:rPr>
        <w:id w:val="147474563"/>
        <w15:color w:val="DBDBDB"/>
        <w:docPartObj>
          <w:docPartGallery w:val="Table of Contents"/>
          <w:docPartUnique/>
        </w:docPartObj>
      </w:sdtPr>
      <w:sdtEndP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44"/>
          <w:lang w:val="en-US" w:eastAsia="zh-CN" w:bidi="en-US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b/>
              <w:bCs/>
              <w:sz w:val="32"/>
              <w:szCs w:val="32"/>
            </w:rPr>
          </w:pPr>
          <w:r>
            <w:rPr>
              <w:rFonts w:ascii="宋体" w:hAnsi="宋体" w:eastAsia="宋体"/>
              <w:b/>
              <w:bCs/>
              <w:sz w:val="32"/>
              <w:szCs w:val="32"/>
            </w:rPr>
            <w:t>目录</w:t>
          </w:r>
        </w:p>
        <w:p>
          <w:pPr>
            <w:pStyle w:val="16"/>
            <w:tabs>
              <w:tab w:val="right" w:leader="dot" w:pos="8844"/>
            </w:tabs>
            <w:rPr>
              <w:rFonts w:hint="eastAsia" w:ascii="宋体" w:hAnsi="宋体" w:eastAsia="宋体" w:cs="宋体"/>
              <w:b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44"/>
              <w:szCs w:val="44"/>
              <w:lang w:eastAsia="zh-CN"/>
            </w:rPr>
            <w:fldChar w:fldCharType="begin"/>
          </w:r>
          <w:r>
            <w:rPr>
              <w:rFonts w:hint="eastAsia" w:ascii="宋体" w:hAnsi="宋体" w:eastAsia="宋体" w:cs="宋体"/>
              <w:sz w:val="44"/>
              <w:szCs w:val="44"/>
              <w:lang w:eastAsia="zh-CN"/>
            </w:rPr>
            <w:instrText xml:space="preserve">TOC \o "1-2" \h \u </w:instrText>
          </w:r>
          <w:r>
            <w:rPr>
              <w:rFonts w:hint="eastAsia" w:ascii="宋体" w:hAnsi="宋体" w:eastAsia="宋体" w:cs="宋体"/>
              <w:sz w:val="44"/>
              <w:szCs w:val="44"/>
              <w:lang w:eastAsia="zh-CN"/>
            </w:rPr>
            <w:fldChar w:fldCharType="separate"/>
          </w:r>
          <w:r>
            <w:rPr>
              <w:rFonts w:hint="eastAsia" w:ascii="宋体" w:hAnsi="宋体" w:eastAsia="宋体" w:cs="宋体"/>
              <w:b/>
              <w:sz w:val="24"/>
              <w:szCs w:val="24"/>
              <w:lang w:eastAsia="zh-CN"/>
            </w:rPr>
            <w:fldChar w:fldCharType="begin"/>
          </w:r>
          <w:r>
            <w:rPr>
              <w:rFonts w:hint="eastAsia" w:ascii="宋体" w:hAnsi="宋体" w:eastAsia="宋体" w:cs="宋体"/>
              <w:b/>
              <w:sz w:val="24"/>
              <w:szCs w:val="24"/>
              <w:lang w:eastAsia="zh-CN"/>
            </w:rPr>
            <w:instrText xml:space="preserve"> HYPERLINK \l _Toc10204 </w:instrText>
          </w:r>
          <w:r>
            <w:rPr>
              <w:rFonts w:hint="eastAsia" w:ascii="宋体" w:hAnsi="宋体" w:eastAsia="宋体" w:cs="宋体"/>
              <w:b/>
              <w:sz w:val="24"/>
              <w:szCs w:val="24"/>
              <w:lang w:eastAsia="zh-CN"/>
            </w:rPr>
            <w:fldChar w:fldCharType="separate"/>
          </w:r>
          <w:r>
            <w:rPr>
              <w:rFonts w:hint="eastAsia" w:ascii="宋体" w:hAnsi="宋体" w:eastAsia="宋体" w:cs="宋体"/>
              <w:b/>
              <w:sz w:val="24"/>
              <w:szCs w:val="24"/>
              <w:lang w:eastAsia="zh-CN"/>
            </w:rPr>
            <w:t>1. 项目简介</w:t>
          </w:r>
          <w:r>
            <w:rPr>
              <w:rFonts w:hint="eastAsia" w:ascii="宋体" w:hAnsi="宋体" w:eastAsia="宋体" w:cs="宋体"/>
              <w:b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b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/>
              <w:sz w:val="24"/>
              <w:szCs w:val="24"/>
            </w:rPr>
            <w:instrText xml:space="preserve"> PAGEREF _Toc10204 \h </w:instrText>
          </w:r>
          <w:r>
            <w:rPr>
              <w:rFonts w:hint="eastAsia" w:ascii="宋体" w:hAnsi="宋体" w:eastAsia="宋体" w:cs="宋体"/>
              <w:b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/>
              <w:sz w:val="24"/>
              <w:szCs w:val="24"/>
            </w:rPr>
            <w:t>1</w:t>
          </w:r>
          <w:r>
            <w:rPr>
              <w:rFonts w:hint="eastAsia" w:ascii="宋体" w:hAnsi="宋体" w:eastAsia="宋体" w:cs="宋体"/>
              <w:b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/>
              <w:sz w:val="24"/>
              <w:szCs w:val="24"/>
              <w:lang w:eastAsia="zh-CN"/>
            </w:rPr>
            <w:fldChar w:fldCharType="end"/>
          </w:r>
        </w:p>
        <w:p>
          <w:pPr>
            <w:pStyle w:val="17"/>
            <w:tabs>
              <w:tab w:val="right" w:leader="dot" w:pos="8844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instrText xml:space="preserve"> HYPERLINK \l _Toc27662 </w:instrText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1.1项目名称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_Toc27662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1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fldChar w:fldCharType="end"/>
          </w:r>
        </w:p>
        <w:p>
          <w:pPr>
            <w:pStyle w:val="17"/>
            <w:tabs>
              <w:tab w:val="right" w:leader="dot" w:pos="8844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instrText xml:space="preserve"> HYPERLINK \l _Toc8214 </w:instrText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t>1.</w:t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2</w:t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t>项目描述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_Toc8214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1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fldChar w:fldCharType="end"/>
          </w:r>
        </w:p>
        <w:p>
          <w:pPr>
            <w:pStyle w:val="17"/>
            <w:tabs>
              <w:tab w:val="right" w:leader="dot" w:pos="8844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instrText xml:space="preserve"> HYPERLINK \l _Toc11219 </w:instrText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t>1.</w:t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3</w:t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t>考核目的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_Toc11219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1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fldChar w:fldCharType="end"/>
          </w:r>
        </w:p>
        <w:p>
          <w:pPr>
            <w:pStyle w:val="17"/>
            <w:tabs>
              <w:tab w:val="right" w:leader="dot" w:pos="8844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instrText xml:space="preserve"> HYPERLINK \l _Toc21519 </w:instrText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t>1.</w:t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4</w:t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t xml:space="preserve"> 相关文件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_Toc21519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2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fldChar w:fldCharType="end"/>
          </w:r>
        </w:p>
        <w:p>
          <w:pPr>
            <w:pStyle w:val="16"/>
            <w:tabs>
              <w:tab w:val="right" w:leader="dot" w:pos="8844"/>
            </w:tabs>
            <w:rPr>
              <w:rFonts w:hint="eastAsia" w:ascii="宋体" w:hAnsi="宋体" w:eastAsia="宋体" w:cs="宋体"/>
              <w:b/>
              <w:sz w:val="24"/>
              <w:szCs w:val="24"/>
            </w:rPr>
          </w:pPr>
          <w:r>
            <w:rPr>
              <w:rFonts w:hint="eastAsia" w:ascii="宋体" w:hAnsi="宋体" w:eastAsia="宋体" w:cs="宋体"/>
              <w:b/>
              <w:sz w:val="24"/>
              <w:szCs w:val="24"/>
              <w:lang w:eastAsia="zh-CN"/>
            </w:rPr>
            <w:fldChar w:fldCharType="begin"/>
          </w:r>
          <w:r>
            <w:rPr>
              <w:rFonts w:hint="eastAsia" w:ascii="宋体" w:hAnsi="宋体" w:eastAsia="宋体" w:cs="宋体"/>
              <w:b/>
              <w:sz w:val="24"/>
              <w:szCs w:val="24"/>
              <w:lang w:eastAsia="zh-CN"/>
            </w:rPr>
            <w:instrText xml:space="preserve"> HYPERLINK \l _Toc28719 </w:instrText>
          </w:r>
          <w:r>
            <w:rPr>
              <w:rFonts w:hint="eastAsia" w:ascii="宋体" w:hAnsi="宋体" w:eastAsia="宋体" w:cs="宋体"/>
              <w:b/>
              <w:sz w:val="24"/>
              <w:szCs w:val="24"/>
              <w:lang w:eastAsia="zh-CN"/>
            </w:rPr>
            <w:fldChar w:fldCharType="separate"/>
          </w:r>
          <w:r>
            <w:rPr>
              <w:rFonts w:hint="eastAsia" w:ascii="宋体" w:hAnsi="宋体" w:eastAsia="宋体" w:cs="宋体"/>
              <w:b/>
              <w:sz w:val="24"/>
              <w:szCs w:val="24"/>
              <w:lang w:eastAsia="zh-CN"/>
            </w:rPr>
            <w:t>2. 选手需具备的能力</w:t>
          </w:r>
          <w:r>
            <w:rPr>
              <w:rFonts w:hint="eastAsia" w:ascii="宋体" w:hAnsi="宋体" w:eastAsia="宋体" w:cs="宋体"/>
              <w:b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b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/>
              <w:sz w:val="24"/>
              <w:szCs w:val="24"/>
            </w:rPr>
            <w:instrText xml:space="preserve"> PAGEREF _Toc28719 \h </w:instrText>
          </w:r>
          <w:r>
            <w:rPr>
              <w:rFonts w:hint="eastAsia" w:ascii="宋体" w:hAnsi="宋体" w:eastAsia="宋体" w:cs="宋体"/>
              <w:b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/>
              <w:sz w:val="24"/>
              <w:szCs w:val="24"/>
            </w:rPr>
            <w:t>2</w:t>
          </w:r>
          <w:r>
            <w:rPr>
              <w:rFonts w:hint="eastAsia" w:ascii="宋体" w:hAnsi="宋体" w:eastAsia="宋体" w:cs="宋体"/>
              <w:b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/>
              <w:sz w:val="24"/>
              <w:szCs w:val="24"/>
              <w:lang w:eastAsia="zh-CN"/>
            </w:rPr>
            <w:fldChar w:fldCharType="end"/>
          </w:r>
        </w:p>
        <w:p>
          <w:pPr>
            <w:pStyle w:val="16"/>
            <w:tabs>
              <w:tab w:val="right" w:leader="dot" w:pos="8844"/>
            </w:tabs>
            <w:rPr>
              <w:rFonts w:hint="eastAsia" w:ascii="宋体" w:hAnsi="宋体" w:eastAsia="宋体" w:cs="宋体"/>
              <w:b/>
              <w:sz w:val="24"/>
              <w:szCs w:val="24"/>
            </w:rPr>
          </w:pPr>
          <w:r>
            <w:rPr>
              <w:rFonts w:hint="eastAsia" w:ascii="宋体" w:hAnsi="宋体" w:eastAsia="宋体" w:cs="宋体"/>
              <w:b/>
              <w:sz w:val="24"/>
              <w:szCs w:val="24"/>
              <w:lang w:eastAsia="zh-CN"/>
            </w:rPr>
            <w:fldChar w:fldCharType="begin"/>
          </w:r>
          <w:r>
            <w:rPr>
              <w:rFonts w:hint="eastAsia" w:ascii="宋体" w:hAnsi="宋体" w:eastAsia="宋体" w:cs="宋体"/>
              <w:b/>
              <w:sz w:val="24"/>
              <w:szCs w:val="24"/>
              <w:lang w:eastAsia="zh-CN"/>
            </w:rPr>
            <w:instrText xml:space="preserve"> HYPERLINK \l _Toc14276 </w:instrText>
          </w:r>
          <w:r>
            <w:rPr>
              <w:rFonts w:hint="eastAsia" w:ascii="宋体" w:hAnsi="宋体" w:eastAsia="宋体" w:cs="宋体"/>
              <w:b/>
              <w:sz w:val="24"/>
              <w:szCs w:val="24"/>
              <w:lang w:eastAsia="zh-CN"/>
            </w:rPr>
            <w:fldChar w:fldCharType="separate"/>
          </w:r>
          <w:r>
            <w:rPr>
              <w:rFonts w:hint="eastAsia" w:ascii="宋体" w:hAnsi="宋体" w:eastAsia="宋体" w:cs="宋体"/>
              <w:b/>
              <w:sz w:val="24"/>
              <w:szCs w:val="24"/>
            </w:rPr>
            <w:t>3.竞赛项目</w:t>
          </w:r>
          <w:r>
            <w:rPr>
              <w:rFonts w:hint="eastAsia" w:ascii="宋体" w:hAnsi="宋体" w:eastAsia="宋体" w:cs="宋体"/>
              <w:b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b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/>
              <w:sz w:val="24"/>
              <w:szCs w:val="24"/>
            </w:rPr>
            <w:instrText xml:space="preserve"> PAGEREF _Toc14276 \h </w:instrText>
          </w:r>
          <w:r>
            <w:rPr>
              <w:rFonts w:hint="eastAsia" w:ascii="宋体" w:hAnsi="宋体" w:eastAsia="宋体" w:cs="宋体"/>
              <w:b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/>
              <w:sz w:val="24"/>
              <w:szCs w:val="24"/>
            </w:rPr>
            <w:t>13</w:t>
          </w:r>
          <w:r>
            <w:rPr>
              <w:rFonts w:hint="eastAsia" w:ascii="宋体" w:hAnsi="宋体" w:eastAsia="宋体" w:cs="宋体"/>
              <w:b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/>
              <w:sz w:val="24"/>
              <w:szCs w:val="24"/>
              <w:lang w:eastAsia="zh-CN"/>
            </w:rPr>
            <w:fldChar w:fldCharType="end"/>
          </w:r>
        </w:p>
        <w:p>
          <w:pPr>
            <w:pStyle w:val="17"/>
            <w:tabs>
              <w:tab w:val="right" w:leader="dot" w:pos="8844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instrText xml:space="preserve"> HYPERLINK \l _Toc15831 </w:instrText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3.1 竞赛模块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_Toc15831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13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fldChar w:fldCharType="end"/>
          </w:r>
        </w:p>
        <w:p>
          <w:pPr>
            <w:pStyle w:val="17"/>
            <w:tabs>
              <w:tab w:val="right" w:leader="dot" w:pos="8844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instrText xml:space="preserve"> HYPERLINK \l _Toc17174 </w:instrText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3.2 模块简述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_Toc17174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13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fldChar w:fldCharType="end"/>
          </w:r>
        </w:p>
        <w:p>
          <w:pPr>
            <w:pStyle w:val="17"/>
            <w:tabs>
              <w:tab w:val="right" w:leader="dot" w:pos="8844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instrText xml:space="preserve"> HYPERLINK \l _Toc8994 </w:instrText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t>3.3命题方式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_Toc8994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14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fldChar w:fldCharType="end"/>
          </w:r>
        </w:p>
        <w:p>
          <w:pPr>
            <w:pStyle w:val="17"/>
            <w:tabs>
              <w:tab w:val="right" w:leader="dot" w:pos="8844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instrText xml:space="preserve"> HYPERLINK \l _Toc20755 </w:instrText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t>3.5考核时间及地点安排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_Toc20755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14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fldChar w:fldCharType="end"/>
          </w:r>
        </w:p>
        <w:p>
          <w:pPr>
            <w:pStyle w:val="16"/>
            <w:tabs>
              <w:tab w:val="right" w:leader="dot" w:pos="8844"/>
            </w:tabs>
            <w:rPr>
              <w:rFonts w:hint="eastAsia" w:ascii="宋体" w:hAnsi="宋体" w:eastAsia="宋体" w:cs="宋体"/>
              <w:b/>
              <w:sz w:val="24"/>
              <w:szCs w:val="24"/>
            </w:rPr>
          </w:pPr>
          <w:r>
            <w:rPr>
              <w:rFonts w:hint="eastAsia" w:ascii="宋体" w:hAnsi="宋体" w:eastAsia="宋体" w:cs="宋体"/>
              <w:b/>
              <w:sz w:val="24"/>
              <w:szCs w:val="24"/>
              <w:lang w:eastAsia="zh-CN"/>
            </w:rPr>
            <w:fldChar w:fldCharType="begin"/>
          </w:r>
          <w:r>
            <w:rPr>
              <w:rFonts w:hint="eastAsia" w:ascii="宋体" w:hAnsi="宋体" w:eastAsia="宋体" w:cs="宋体"/>
              <w:b/>
              <w:sz w:val="24"/>
              <w:szCs w:val="24"/>
              <w:lang w:eastAsia="zh-CN"/>
            </w:rPr>
            <w:instrText xml:space="preserve"> HYPERLINK \l _Toc17582 </w:instrText>
          </w:r>
          <w:r>
            <w:rPr>
              <w:rFonts w:hint="eastAsia" w:ascii="宋体" w:hAnsi="宋体" w:eastAsia="宋体" w:cs="宋体"/>
              <w:b/>
              <w:sz w:val="24"/>
              <w:szCs w:val="24"/>
              <w:lang w:eastAsia="zh-CN"/>
            </w:rPr>
            <w:fldChar w:fldCharType="separate"/>
          </w:r>
          <w:r>
            <w:rPr>
              <w:rFonts w:hint="eastAsia" w:ascii="宋体" w:hAnsi="宋体" w:eastAsia="宋体" w:cs="宋体"/>
              <w:b/>
              <w:sz w:val="24"/>
              <w:szCs w:val="24"/>
              <w:lang w:eastAsia="zh-CN"/>
            </w:rPr>
            <w:t>4.评分标准</w:t>
          </w:r>
          <w:r>
            <w:rPr>
              <w:rFonts w:hint="eastAsia" w:ascii="宋体" w:hAnsi="宋体" w:eastAsia="宋体" w:cs="宋体"/>
              <w:b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b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/>
              <w:sz w:val="24"/>
              <w:szCs w:val="24"/>
            </w:rPr>
            <w:instrText xml:space="preserve"> PAGEREF _Toc17582 \h </w:instrText>
          </w:r>
          <w:r>
            <w:rPr>
              <w:rFonts w:hint="eastAsia" w:ascii="宋体" w:hAnsi="宋体" w:eastAsia="宋体" w:cs="宋体"/>
              <w:b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/>
              <w:sz w:val="24"/>
              <w:szCs w:val="24"/>
            </w:rPr>
            <w:t>14</w:t>
          </w:r>
          <w:r>
            <w:rPr>
              <w:rFonts w:hint="eastAsia" w:ascii="宋体" w:hAnsi="宋体" w:eastAsia="宋体" w:cs="宋体"/>
              <w:b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/>
              <w:sz w:val="24"/>
              <w:szCs w:val="24"/>
              <w:lang w:eastAsia="zh-CN"/>
            </w:rPr>
            <w:fldChar w:fldCharType="end"/>
          </w:r>
        </w:p>
        <w:p>
          <w:pPr>
            <w:pStyle w:val="17"/>
            <w:tabs>
              <w:tab w:val="right" w:leader="dot" w:pos="8844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instrText xml:space="preserve"> HYPERLINK \l _Toc31367 </w:instrText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t>4.1 评价分（主观）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_Toc31367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14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fldChar w:fldCharType="end"/>
          </w:r>
        </w:p>
        <w:p>
          <w:pPr>
            <w:pStyle w:val="17"/>
            <w:tabs>
              <w:tab w:val="right" w:leader="dot" w:pos="8844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instrText xml:space="preserve"> HYPERLINK \l _Toc19508 </w:instrText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t xml:space="preserve">4.2 </w:t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机器评</w:t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t>分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_Toc19508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15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fldChar w:fldCharType="end"/>
          </w:r>
        </w:p>
        <w:p>
          <w:pPr>
            <w:pStyle w:val="17"/>
            <w:tabs>
              <w:tab w:val="right" w:leader="dot" w:pos="8844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instrText xml:space="preserve"> HYPERLINK \l _Toc19953 </w:instrText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4.3评分流程说明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_Toc19953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15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fldChar w:fldCharType="end"/>
          </w:r>
        </w:p>
        <w:p>
          <w:pPr>
            <w:pStyle w:val="17"/>
            <w:tabs>
              <w:tab w:val="right" w:leader="dot" w:pos="8844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instrText xml:space="preserve"> HYPERLINK \l _Toc13087 </w:instrText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t>4.4统分方法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_Toc13087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15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fldChar w:fldCharType="end"/>
          </w:r>
        </w:p>
        <w:p>
          <w:pPr>
            <w:pStyle w:val="17"/>
            <w:tabs>
              <w:tab w:val="right" w:leader="dot" w:pos="8844"/>
            </w:tabs>
            <w:rPr>
              <w:rFonts w:hint="eastAsia" w:ascii="宋体" w:hAnsi="宋体" w:eastAsia="宋体" w:cs="宋体"/>
              <w:b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instrText xml:space="preserve"> HYPERLINK \l _Toc6230 </w:instrText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t>4.5裁判构成和分组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_Toc6230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15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fldChar w:fldCharType="end"/>
          </w:r>
        </w:p>
        <w:p>
          <w:pPr>
            <w:pStyle w:val="16"/>
            <w:tabs>
              <w:tab w:val="right" w:leader="dot" w:pos="8844"/>
            </w:tabs>
            <w:rPr>
              <w:rFonts w:hint="eastAsia" w:ascii="宋体" w:hAnsi="宋体" w:eastAsia="宋体" w:cs="宋体"/>
              <w:b/>
              <w:sz w:val="24"/>
              <w:szCs w:val="24"/>
            </w:rPr>
          </w:pPr>
          <w:r>
            <w:rPr>
              <w:rFonts w:hint="eastAsia" w:ascii="宋体" w:hAnsi="宋体" w:eastAsia="宋体" w:cs="宋体"/>
              <w:b/>
              <w:sz w:val="24"/>
              <w:szCs w:val="24"/>
              <w:lang w:eastAsia="zh-CN"/>
            </w:rPr>
            <w:fldChar w:fldCharType="begin"/>
          </w:r>
          <w:r>
            <w:rPr>
              <w:rFonts w:hint="eastAsia" w:ascii="宋体" w:hAnsi="宋体" w:eastAsia="宋体" w:cs="宋体"/>
              <w:b/>
              <w:sz w:val="24"/>
              <w:szCs w:val="24"/>
              <w:lang w:eastAsia="zh-CN"/>
            </w:rPr>
            <w:instrText xml:space="preserve"> HYPERLINK \l _Toc21497 </w:instrText>
          </w:r>
          <w:r>
            <w:rPr>
              <w:rFonts w:hint="eastAsia" w:ascii="宋体" w:hAnsi="宋体" w:eastAsia="宋体" w:cs="宋体"/>
              <w:b/>
              <w:sz w:val="24"/>
              <w:szCs w:val="24"/>
              <w:lang w:eastAsia="zh-CN"/>
            </w:rPr>
            <w:fldChar w:fldCharType="separate"/>
          </w:r>
          <w:r>
            <w:rPr>
              <w:rFonts w:hint="eastAsia" w:ascii="宋体" w:hAnsi="宋体" w:eastAsia="宋体" w:cs="宋体"/>
              <w:b/>
              <w:sz w:val="24"/>
              <w:szCs w:val="24"/>
              <w:lang w:eastAsia="zh-CN"/>
            </w:rPr>
            <w:t>5.竞赛相关设施设备</w:t>
          </w:r>
          <w:r>
            <w:rPr>
              <w:rFonts w:hint="eastAsia" w:ascii="宋体" w:hAnsi="宋体" w:eastAsia="宋体" w:cs="宋体"/>
              <w:b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b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/>
              <w:sz w:val="24"/>
              <w:szCs w:val="24"/>
            </w:rPr>
            <w:instrText xml:space="preserve"> PAGEREF _Toc21497 \h </w:instrText>
          </w:r>
          <w:r>
            <w:rPr>
              <w:rFonts w:hint="eastAsia" w:ascii="宋体" w:hAnsi="宋体" w:eastAsia="宋体" w:cs="宋体"/>
              <w:b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/>
              <w:sz w:val="24"/>
              <w:szCs w:val="24"/>
            </w:rPr>
            <w:t>17</w:t>
          </w:r>
          <w:r>
            <w:rPr>
              <w:rFonts w:hint="eastAsia" w:ascii="宋体" w:hAnsi="宋体" w:eastAsia="宋体" w:cs="宋体"/>
              <w:b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/>
              <w:sz w:val="24"/>
              <w:szCs w:val="24"/>
              <w:lang w:eastAsia="zh-CN"/>
            </w:rPr>
            <w:fldChar w:fldCharType="end"/>
          </w:r>
        </w:p>
        <w:p>
          <w:pPr>
            <w:pStyle w:val="17"/>
            <w:tabs>
              <w:tab w:val="right" w:leader="dot" w:pos="8844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instrText xml:space="preserve"> HYPERLINK \l _Toc22015 </w:instrText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t>5.1场地设备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_Toc22015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17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fldChar w:fldCharType="end"/>
          </w:r>
        </w:p>
        <w:p>
          <w:pPr>
            <w:pStyle w:val="17"/>
            <w:tabs>
              <w:tab w:val="right" w:leader="dot" w:pos="8844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instrText xml:space="preserve"> HYPERLINK \l _Toc22192 </w:instrText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5.2比赛器材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_Toc22192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19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fldChar w:fldCharType="end"/>
          </w:r>
        </w:p>
        <w:p>
          <w:pPr>
            <w:pStyle w:val="16"/>
            <w:tabs>
              <w:tab w:val="right" w:leader="dot" w:pos="8844"/>
            </w:tabs>
            <w:rPr>
              <w:rFonts w:hint="eastAsia" w:ascii="宋体" w:hAnsi="宋体" w:eastAsia="宋体" w:cs="宋体"/>
              <w:b/>
              <w:sz w:val="24"/>
              <w:szCs w:val="24"/>
            </w:rPr>
          </w:pPr>
          <w:r>
            <w:rPr>
              <w:rFonts w:hint="eastAsia" w:ascii="宋体" w:hAnsi="宋体" w:eastAsia="宋体" w:cs="宋体"/>
              <w:b/>
              <w:sz w:val="24"/>
              <w:szCs w:val="24"/>
              <w:lang w:eastAsia="zh-CN"/>
            </w:rPr>
            <w:fldChar w:fldCharType="begin"/>
          </w:r>
          <w:r>
            <w:rPr>
              <w:rFonts w:hint="eastAsia" w:ascii="宋体" w:hAnsi="宋体" w:eastAsia="宋体" w:cs="宋体"/>
              <w:b/>
              <w:sz w:val="24"/>
              <w:szCs w:val="24"/>
              <w:lang w:eastAsia="zh-CN"/>
            </w:rPr>
            <w:instrText xml:space="preserve"> HYPERLINK \l _Toc27907 </w:instrText>
          </w:r>
          <w:r>
            <w:rPr>
              <w:rFonts w:hint="eastAsia" w:ascii="宋体" w:hAnsi="宋体" w:eastAsia="宋体" w:cs="宋体"/>
              <w:b/>
              <w:sz w:val="24"/>
              <w:szCs w:val="24"/>
              <w:lang w:eastAsia="zh-CN"/>
            </w:rPr>
            <w:fldChar w:fldCharType="separate"/>
          </w:r>
          <w:r>
            <w:rPr>
              <w:rFonts w:hint="eastAsia" w:ascii="宋体" w:hAnsi="宋体" w:eastAsia="宋体" w:cs="宋体"/>
              <w:b/>
              <w:sz w:val="24"/>
              <w:szCs w:val="24"/>
            </w:rPr>
            <w:t>6.</w:t>
          </w:r>
          <w:r>
            <w:rPr>
              <w:rFonts w:hint="eastAsia" w:ascii="宋体" w:hAnsi="宋体" w:eastAsia="宋体" w:cs="宋体"/>
              <w:b/>
              <w:sz w:val="24"/>
              <w:szCs w:val="24"/>
              <w:lang w:val="en-US" w:eastAsia="zh-CN"/>
            </w:rPr>
            <w:t>选手须知</w:t>
          </w:r>
          <w:r>
            <w:rPr>
              <w:rFonts w:hint="eastAsia" w:ascii="宋体" w:hAnsi="宋体" w:eastAsia="宋体" w:cs="宋体"/>
              <w:b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b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/>
              <w:sz w:val="24"/>
              <w:szCs w:val="24"/>
            </w:rPr>
            <w:instrText xml:space="preserve"> PAGEREF _Toc27907 \h </w:instrText>
          </w:r>
          <w:r>
            <w:rPr>
              <w:rFonts w:hint="eastAsia" w:ascii="宋体" w:hAnsi="宋体" w:eastAsia="宋体" w:cs="宋体"/>
              <w:b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/>
              <w:sz w:val="24"/>
              <w:szCs w:val="24"/>
            </w:rPr>
            <w:t>20</w:t>
          </w:r>
          <w:r>
            <w:rPr>
              <w:rFonts w:hint="eastAsia" w:ascii="宋体" w:hAnsi="宋体" w:eastAsia="宋体" w:cs="宋体"/>
              <w:b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/>
              <w:sz w:val="24"/>
              <w:szCs w:val="24"/>
              <w:lang w:eastAsia="zh-CN"/>
            </w:rPr>
            <w:fldChar w:fldCharType="end"/>
          </w:r>
        </w:p>
        <w:p>
          <w:pPr>
            <w:pStyle w:val="16"/>
            <w:tabs>
              <w:tab w:val="right" w:leader="dot" w:pos="8844"/>
            </w:tabs>
            <w:rPr>
              <w:rFonts w:hint="eastAsia" w:ascii="宋体" w:hAnsi="宋体" w:eastAsia="宋体" w:cs="宋体"/>
              <w:b/>
              <w:sz w:val="24"/>
              <w:szCs w:val="24"/>
            </w:rPr>
          </w:pPr>
          <w:r>
            <w:rPr>
              <w:rFonts w:hint="eastAsia" w:ascii="宋体" w:hAnsi="宋体" w:eastAsia="宋体" w:cs="宋体"/>
              <w:b/>
              <w:sz w:val="24"/>
              <w:szCs w:val="24"/>
              <w:lang w:eastAsia="zh-CN"/>
            </w:rPr>
            <w:fldChar w:fldCharType="begin"/>
          </w:r>
          <w:r>
            <w:rPr>
              <w:rFonts w:hint="eastAsia" w:ascii="宋体" w:hAnsi="宋体" w:eastAsia="宋体" w:cs="宋体"/>
              <w:b/>
              <w:sz w:val="24"/>
              <w:szCs w:val="24"/>
              <w:lang w:eastAsia="zh-CN"/>
            </w:rPr>
            <w:instrText xml:space="preserve"> HYPERLINK \l _Toc19372 </w:instrText>
          </w:r>
          <w:r>
            <w:rPr>
              <w:rFonts w:hint="eastAsia" w:ascii="宋体" w:hAnsi="宋体" w:eastAsia="宋体" w:cs="宋体"/>
              <w:b/>
              <w:sz w:val="24"/>
              <w:szCs w:val="24"/>
              <w:lang w:eastAsia="zh-CN"/>
            </w:rPr>
            <w:fldChar w:fldCharType="separate"/>
          </w:r>
          <w:r>
            <w:rPr>
              <w:rFonts w:hint="eastAsia" w:ascii="宋体" w:hAnsi="宋体" w:eastAsia="宋体" w:cs="宋体"/>
              <w:b/>
              <w:sz w:val="24"/>
              <w:szCs w:val="24"/>
              <w:lang w:eastAsia="zh-CN"/>
            </w:rPr>
            <w:t>7.赛场布局要求</w:t>
          </w:r>
          <w:r>
            <w:rPr>
              <w:rFonts w:hint="eastAsia" w:ascii="宋体" w:hAnsi="宋体" w:eastAsia="宋体" w:cs="宋体"/>
              <w:b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b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/>
              <w:sz w:val="24"/>
              <w:szCs w:val="24"/>
            </w:rPr>
            <w:instrText xml:space="preserve"> PAGEREF _Toc19372 \h </w:instrText>
          </w:r>
          <w:r>
            <w:rPr>
              <w:rFonts w:hint="eastAsia" w:ascii="宋体" w:hAnsi="宋体" w:eastAsia="宋体" w:cs="宋体"/>
              <w:b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/>
              <w:sz w:val="24"/>
              <w:szCs w:val="24"/>
            </w:rPr>
            <w:t>21</w:t>
          </w:r>
          <w:r>
            <w:rPr>
              <w:rFonts w:hint="eastAsia" w:ascii="宋体" w:hAnsi="宋体" w:eastAsia="宋体" w:cs="宋体"/>
              <w:b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/>
              <w:sz w:val="24"/>
              <w:szCs w:val="24"/>
              <w:lang w:eastAsia="zh-CN"/>
            </w:rPr>
            <w:fldChar w:fldCharType="end"/>
          </w:r>
        </w:p>
        <w:p>
          <w:pPr>
            <w:pStyle w:val="16"/>
            <w:tabs>
              <w:tab w:val="right" w:leader="dot" w:pos="8844"/>
            </w:tabs>
            <w:rPr>
              <w:rFonts w:hint="eastAsia" w:ascii="宋体" w:hAnsi="宋体" w:eastAsia="宋体" w:cs="宋体"/>
              <w:b/>
              <w:sz w:val="24"/>
              <w:szCs w:val="24"/>
            </w:rPr>
          </w:pPr>
          <w:r>
            <w:rPr>
              <w:rFonts w:hint="eastAsia" w:ascii="宋体" w:hAnsi="宋体" w:eastAsia="宋体" w:cs="宋体"/>
              <w:b/>
              <w:sz w:val="24"/>
              <w:szCs w:val="24"/>
              <w:lang w:eastAsia="zh-CN"/>
            </w:rPr>
            <w:fldChar w:fldCharType="begin"/>
          </w:r>
          <w:r>
            <w:rPr>
              <w:rFonts w:hint="eastAsia" w:ascii="宋体" w:hAnsi="宋体" w:eastAsia="宋体" w:cs="宋体"/>
              <w:b/>
              <w:sz w:val="24"/>
              <w:szCs w:val="24"/>
              <w:lang w:eastAsia="zh-CN"/>
            </w:rPr>
            <w:instrText xml:space="preserve"> HYPERLINK \l _Toc4154 </w:instrText>
          </w:r>
          <w:r>
            <w:rPr>
              <w:rFonts w:hint="eastAsia" w:ascii="宋体" w:hAnsi="宋体" w:eastAsia="宋体" w:cs="宋体"/>
              <w:b/>
              <w:sz w:val="24"/>
              <w:szCs w:val="24"/>
              <w:lang w:eastAsia="zh-CN"/>
            </w:rPr>
            <w:fldChar w:fldCharType="separate"/>
          </w:r>
          <w:r>
            <w:rPr>
              <w:rFonts w:hint="eastAsia" w:ascii="宋体" w:hAnsi="宋体" w:eastAsia="宋体" w:cs="宋体"/>
              <w:b/>
              <w:sz w:val="24"/>
              <w:szCs w:val="24"/>
              <w:lang w:eastAsia="zh-CN"/>
            </w:rPr>
            <w:t>8.健康安全和绿色环保</w:t>
          </w:r>
          <w:r>
            <w:rPr>
              <w:rFonts w:hint="eastAsia" w:ascii="宋体" w:hAnsi="宋体" w:eastAsia="宋体" w:cs="宋体"/>
              <w:b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b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/>
              <w:sz w:val="24"/>
              <w:szCs w:val="24"/>
            </w:rPr>
            <w:instrText xml:space="preserve"> PAGEREF _Toc4154 \h </w:instrText>
          </w:r>
          <w:r>
            <w:rPr>
              <w:rFonts w:hint="eastAsia" w:ascii="宋体" w:hAnsi="宋体" w:eastAsia="宋体" w:cs="宋体"/>
              <w:b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/>
              <w:sz w:val="24"/>
              <w:szCs w:val="24"/>
            </w:rPr>
            <w:t>21</w:t>
          </w:r>
          <w:r>
            <w:rPr>
              <w:rFonts w:hint="eastAsia" w:ascii="宋体" w:hAnsi="宋体" w:eastAsia="宋体" w:cs="宋体"/>
              <w:b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/>
              <w:sz w:val="24"/>
              <w:szCs w:val="24"/>
              <w:lang w:eastAsia="zh-CN"/>
            </w:rPr>
            <w:fldChar w:fldCharType="end"/>
          </w:r>
        </w:p>
        <w:p>
          <w:pPr>
            <w:pStyle w:val="17"/>
            <w:tabs>
              <w:tab w:val="right" w:leader="dot" w:pos="8844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instrText xml:space="preserve"> HYPERLINK \l _Toc31874 </w:instrText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8.1</w:t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t>环境保护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_Toc31874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22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fldChar w:fldCharType="end"/>
          </w:r>
        </w:p>
        <w:p>
          <w:pPr>
            <w:pStyle w:val="17"/>
            <w:tabs>
              <w:tab w:val="right" w:leader="dot" w:pos="8844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instrText xml:space="preserve"> HYPERLINK \l _Toc21632 </w:instrText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8.2</w:t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t>循环利用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_Toc21632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22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fldChar w:fldCharType="end"/>
          </w:r>
        </w:p>
        <w:p>
          <w:pPr>
            <w:pStyle w:val="16"/>
            <w:tabs>
              <w:tab w:val="right" w:leader="dot" w:pos="8844"/>
            </w:tabs>
            <w:rPr>
              <w:b/>
            </w:rPr>
          </w:pPr>
          <w:r>
            <w:rPr>
              <w:rFonts w:hint="eastAsia" w:ascii="宋体" w:hAnsi="宋体" w:eastAsia="宋体" w:cs="宋体"/>
              <w:b/>
              <w:sz w:val="24"/>
              <w:szCs w:val="24"/>
              <w:lang w:eastAsia="zh-CN"/>
            </w:rPr>
            <w:fldChar w:fldCharType="begin"/>
          </w:r>
          <w:r>
            <w:rPr>
              <w:rFonts w:hint="eastAsia" w:ascii="宋体" w:hAnsi="宋体" w:eastAsia="宋体" w:cs="宋体"/>
              <w:b/>
              <w:sz w:val="24"/>
              <w:szCs w:val="24"/>
              <w:lang w:eastAsia="zh-CN"/>
            </w:rPr>
            <w:instrText xml:space="preserve"> HYPERLINK \l _Toc22001 </w:instrText>
          </w:r>
          <w:r>
            <w:rPr>
              <w:rFonts w:hint="eastAsia" w:ascii="宋体" w:hAnsi="宋体" w:eastAsia="宋体" w:cs="宋体"/>
              <w:b/>
              <w:sz w:val="24"/>
              <w:szCs w:val="24"/>
              <w:lang w:eastAsia="zh-CN"/>
            </w:rPr>
            <w:fldChar w:fldCharType="separate"/>
          </w:r>
          <w:r>
            <w:rPr>
              <w:rFonts w:hint="eastAsia" w:ascii="宋体" w:hAnsi="宋体" w:eastAsia="宋体" w:cs="宋体"/>
              <w:b/>
              <w:sz w:val="24"/>
              <w:szCs w:val="24"/>
              <w:lang w:eastAsia="zh-CN"/>
            </w:rPr>
            <w:t>9.开放赛场</w:t>
          </w:r>
          <w:r>
            <w:rPr>
              <w:rFonts w:hint="eastAsia" w:ascii="宋体" w:hAnsi="宋体" w:eastAsia="宋体" w:cs="宋体"/>
              <w:b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b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/>
              <w:sz w:val="24"/>
              <w:szCs w:val="24"/>
            </w:rPr>
            <w:instrText xml:space="preserve"> PAGEREF _Toc22001 \h </w:instrText>
          </w:r>
          <w:r>
            <w:rPr>
              <w:rFonts w:hint="eastAsia" w:ascii="宋体" w:hAnsi="宋体" w:eastAsia="宋体" w:cs="宋体"/>
              <w:b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/>
              <w:sz w:val="24"/>
              <w:szCs w:val="24"/>
            </w:rPr>
            <w:t>22</w:t>
          </w:r>
          <w:r>
            <w:rPr>
              <w:rFonts w:hint="eastAsia" w:ascii="宋体" w:hAnsi="宋体" w:eastAsia="宋体" w:cs="宋体"/>
              <w:b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/>
              <w:sz w:val="24"/>
              <w:szCs w:val="24"/>
              <w:lang w:eastAsia="zh-CN"/>
            </w:rPr>
            <w:fldChar w:fldCharType="end"/>
          </w:r>
        </w:p>
        <w:p>
          <w:pPr>
            <w:widowControl/>
            <w:spacing w:line="480" w:lineRule="exact"/>
            <w:rPr>
              <w:rFonts w:hint="eastAsia" w:ascii="宋体" w:hAnsi="宋体" w:eastAsia="宋体" w:cs="宋体"/>
              <w:sz w:val="44"/>
              <w:szCs w:val="44"/>
              <w:lang w:eastAsia="zh-CN"/>
            </w:rPr>
          </w:pPr>
          <w:r>
            <w:rPr>
              <w:rFonts w:hint="eastAsia" w:ascii="宋体" w:hAnsi="宋体" w:eastAsia="宋体" w:cs="宋体"/>
              <w:b/>
              <w:szCs w:val="44"/>
              <w:lang w:eastAsia="zh-CN"/>
            </w:rPr>
            <w:fldChar w:fldCharType="end"/>
          </w:r>
        </w:p>
      </w:sdtContent>
    </w:sdt>
    <w:p>
      <w:pPr>
        <w:widowControl/>
        <w:spacing w:line="480" w:lineRule="exact"/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widowControl/>
        <w:spacing w:line="480" w:lineRule="exact"/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widowControl/>
        <w:spacing w:line="480" w:lineRule="exact"/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widowControl/>
        <w:spacing w:line="480" w:lineRule="exact"/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widowControl/>
        <w:spacing w:line="480" w:lineRule="exact"/>
        <w:rPr>
          <w:rFonts w:hint="eastAsia" w:ascii="宋体" w:hAnsi="宋体" w:eastAsia="宋体" w:cs="宋体"/>
          <w:sz w:val="44"/>
          <w:szCs w:val="44"/>
          <w:lang w:eastAsia="zh-CN"/>
        </w:rPr>
        <w:sectPr>
          <w:headerReference r:id="rId5" w:type="default"/>
          <w:footerReference r:id="rId6" w:type="even"/>
          <w:pgSz w:w="11906" w:h="16838"/>
          <w:pgMar w:top="2098" w:right="1474" w:bottom="1985" w:left="1588" w:header="851" w:footer="1332" w:gutter="0"/>
          <w:cols w:space="720" w:num="1"/>
          <w:docGrid w:type="linesAndChars" w:linePitch="579" w:charSpace="-849"/>
        </w:sectPr>
      </w:pPr>
    </w:p>
    <w:p>
      <w:pPr>
        <w:ind w:firstLine="560"/>
        <w:rPr>
          <w:rFonts w:hint="eastAsia" w:ascii="宋体" w:hAnsi="宋体" w:eastAsia="宋体" w:cs="宋体"/>
          <w:sz w:val="28"/>
          <w:szCs w:val="28"/>
          <w:lang w:eastAsia="zh-CN"/>
        </w:rPr>
      </w:pPr>
      <w:bookmarkStart w:id="3" w:name="_Toc481312692"/>
      <w:bookmarkStart w:id="4" w:name="_Toc481313995"/>
      <w:r>
        <w:rPr>
          <w:rFonts w:hint="eastAsia" w:ascii="宋体" w:hAnsi="宋体" w:eastAsia="宋体" w:cs="宋体"/>
          <w:sz w:val="28"/>
          <w:szCs w:val="28"/>
          <w:lang w:eastAsia="zh-CN"/>
        </w:rPr>
        <w:t>本项目技术工作文件（技术描述）是对本竞赛项目内容的框架性描述，正式比赛内容及要求以竞赛最终公布的赛题为准。</w:t>
      </w:r>
    </w:p>
    <w:p>
      <w:pPr>
        <w:pStyle w:val="2"/>
        <w:numPr>
          <w:ilvl w:val="0"/>
          <w:numId w:val="1"/>
        </w:numPr>
        <w:spacing w:before="156" w:after="156"/>
        <w:rPr>
          <w:rFonts w:hint="eastAsia" w:ascii="宋体" w:hAnsi="宋体" w:eastAsia="宋体" w:cs="宋体"/>
          <w:sz w:val="36"/>
          <w:szCs w:val="36"/>
          <w:lang w:eastAsia="zh-CN"/>
        </w:rPr>
      </w:pPr>
      <w:bookmarkStart w:id="5" w:name="_Toc171698572"/>
      <w:bookmarkStart w:id="6" w:name="_Toc10204"/>
      <w:bookmarkStart w:id="7" w:name="_Toc3674"/>
      <w:r>
        <w:rPr>
          <w:rFonts w:hint="eastAsia" w:ascii="宋体" w:hAnsi="宋体" w:eastAsia="宋体" w:cs="宋体"/>
          <w:sz w:val="36"/>
          <w:szCs w:val="36"/>
          <w:lang w:eastAsia="zh-CN"/>
        </w:rPr>
        <w:t>项目</w:t>
      </w:r>
      <w:bookmarkEnd w:id="3"/>
      <w:r>
        <w:rPr>
          <w:rFonts w:hint="eastAsia" w:ascii="宋体" w:hAnsi="宋体" w:eastAsia="宋体" w:cs="宋体"/>
          <w:sz w:val="36"/>
          <w:szCs w:val="36"/>
          <w:lang w:eastAsia="zh-CN"/>
        </w:rPr>
        <w:t>简介</w:t>
      </w:r>
      <w:bookmarkEnd w:id="4"/>
      <w:bookmarkEnd w:id="5"/>
      <w:bookmarkEnd w:id="6"/>
      <w:bookmarkEnd w:id="7"/>
    </w:p>
    <w:p>
      <w:pPr>
        <w:pStyle w:val="3"/>
        <w:ind w:firstLine="0" w:firstLineChars="0"/>
        <w:rPr>
          <w:rFonts w:hint="eastAsia" w:ascii="宋体" w:hAnsi="宋体" w:eastAsia="宋体" w:cs="宋体"/>
          <w:lang w:val="en-US" w:eastAsia="zh-CN"/>
        </w:rPr>
      </w:pPr>
      <w:bookmarkStart w:id="8" w:name="_Toc27662"/>
      <w:r>
        <w:rPr>
          <w:rFonts w:hint="eastAsia" w:ascii="宋体" w:hAnsi="宋体" w:eastAsia="宋体" w:cs="宋体"/>
          <w:lang w:val="en-US" w:eastAsia="zh-CN"/>
        </w:rPr>
        <w:t>1.1项目名称</w:t>
      </w:r>
      <w:bookmarkEnd w:id="8"/>
    </w:p>
    <w:p>
      <w:pPr>
        <w:ind w:firstLine="56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bookmarkStart w:id="9" w:name="_Toc326344953"/>
      <w:bookmarkStart w:id="10" w:name="_Toc481313996"/>
      <w:bookmarkStart w:id="11" w:name="_Toc481312693"/>
      <w:bookmarkStart w:id="12" w:name="_Toc1667361683"/>
      <w:r>
        <w:rPr>
          <w:rFonts w:hint="eastAsia" w:ascii="宋体" w:hAnsi="宋体" w:eastAsia="宋体" w:cs="宋体"/>
          <w:sz w:val="28"/>
          <w:szCs w:val="28"/>
          <w:lang w:eastAsia="zh-CN"/>
        </w:rPr>
        <w:t>2023年江西省“振兴杯”职业技能大赛——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安全防范系统安装维护员。</w:t>
      </w:r>
    </w:p>
    <w:p>
      <w:pPr>
        <w:pStyle w:val="3"/>
        <w:ind w:firstLine="0" w:firstLineChars="0"/>
        <w:rPr>
          <w:rFonts w:hint="eastAsia" w:ascii="宋体" w:hAnsi="宋体" w:eastAsia="宋体" w:cs="宋体"/>
          <w:lang w:eastAsia="zh-CN"/>
        </w:rPr>
      </w:pPr>
      <w:bookmarkStart w:id="13" w:name="_Toc8214"/>
      <w:r>
        <w:rPr>
          <w:rFonts w:hint="eastAsia" w:ascii="宋体" w:hAnsi="宋体" w:eastAsia="宋体" w:cs="宋体"/>
          <w:lang w:eastAsia="zh-CN"/>
        </w:rPr>
        <w:t>1.</w:t>
      </w:r>
      <w:bookmarkEnd w:id="9"/>
      <w:r>
        <w:rPr>
          <w:rFonts w:hint="eastAsia" w:ascii="宋体" w:hAnsi="宋体" w:cs="宋体"/>
          <w:lang w:val="en-US" w:eastAsia="zh-CN"/>
        </w:rPr>
        <w:t>2</w:t>
      </w:r>
      <w:r>
        <w:rPr>
          <w:rFonts w:hint="eastAsia" w:ascii="宋体" w:hAnsi="宋体" w:eastAsia="宋体" w:cs="宋体"/>
          <w:lang w:eastAsia="zh-CN"/>
        </w:rPr>
        <w:t>项目描述</w:t>
      </w:r>
      <w:bookmarkEnd w:id="10"/>
      <w:bookmarkEnd w:id="11"/>
      <w:bookmarkEnd w:id="12"/>
      <w:bookmarkEnd w:id="13"/>
    </w:p>
    <w:p>
      <w:pPr>
        <w:ind w:firstLine="56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该项目所对应的职业工种：安全防范系统安装维护员。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当前，发展信息技术应用创新产业已成为国家战略。信息技术应用 创新发展是国民经济前进的新动能，是贯彻落实建设“网络强国 ”的新举措，是解决安全防护本质问题的根本。</w:t>
      </w:r>
    </w:p>
    <w:p>
      <w:pPr>
        <w:ind w:firstLine="56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通过举办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全省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技能竞赛活动，旨在推动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信息技术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领域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安防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人才培养，通过“以赛促教、以赛促学、以赛促建、以赛促改”， 引领职业院校专业建设与课程改革，促进产教融合、校企合作，提高院校服务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信息技术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产业发展的能力。</w:t>
      </w:r>
    </w:p>
    <w:p>
      <w:pPr>
        <w:pStyle w:val="3"/>
        <w:ind w:firstLine="0" w:firstLineChars="0"/>
        <w:rPr>
          <w:rFonts w:hint="eastAsia" w:ascii="宋体" w:hAnsi="宋体" w:eastAsia="宋体" w:cs="宋体"/>
          <w:lang w:eastAsia="zh-CN"/>
        </w:rPr>
      </w:pPr>
      <w:bookmarkStart w:id="14" w:name="_Toc481313997"/>
      <w:bookmarkStart w:id="15" w:name="_Toc833696478"/>
      <w:bookmarkStart w:id="16" w:name="_Toc11219"/>
      <w:r>
        <w:rPr>
          <w:rFonts w:hint="eastAsia" w:ascii="宋体" w:hAnsi="宋体" w:eastAsia="宋体" w:cs="宋体"/>
          <w:lang w:eastAsia="zh-CN"/>
        </w:rPr>
        <w:t>1.</w:t>
      </w:r>
      <w:r>
        <w:rPr>
          <w:rFonts w:hint="eastAsia" w:ascii="宋体" w:hAnsi="宋体" w:cs="宋体"/>
          <w:lang w:val="en-US" w:eastAsia="zh-CN"/>
        </w:rPr>
        <w:t>3</w:t>
      </w:r>
      <w:r>
        <w:rPr>
          <w:rFonts w:hint="eastAsia" w:ascii="宋体" w:hAnsi="宋体" w:eastAsia="宋体" w:cs="宋体"/>
          <w:lang w:eastAsia="zh-CN"/>
        </w:rPr>
        <w:t>考核目的</w:t>
      </w:r>
      <w:bookmarkEnd w:id="14"/>
      <w:bookmarkEnd w:id="15"/>
      <w:bookmarkEnd w:id="16"/>
    </w:p>
    <w:p>
      <w:pPr>
        <w:ind w:firstLine="56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为全面贯彻落实习近平总书记对技能人才工作的重要指示精神，更好地在全社会弘扬精益求精的工匠精神。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确立培养</w:t>
      </w:r>
      <w:r>
        <w:rPr>
          <w:rFonts w:hint="eastAsia" w:asciiTheme="minorEastAsia" w:hAnsiTheme="minorEastAsia" w:eastAsiaTheme="minorEastAsia" w:cstheme="minorEastAsia"/>
          <w:spacing w:val="-4"/>
          <w:sz w:val="28"/>
          <w:szCs w:val="28"/>
        </w:rPr>
        <w:t>技能人才</w:t>
      </w:r>
      <w:r>
        <w:rPr>
          <w:rFonts w:hint="eastAsia" w:asciiTheme="minorEastAsia" w:hAnsiTheme="minorEastAsia" w:eastAsiaTheme="minorEastAsia" w:cstheme="minorEastAsia"/>
          <w:spacing w:val="-4"/>
          <w:sz w:val="28"/>
          <w:szCs w:val="28"/>
          <w:lang w:val="en-US" w:eastAsia="zh-CN"/>
        </w:rPr>
        <w:t>的重要性，形成</w:t>
      </w:r>
      <w:r>
        <w:rPr>
          <w:rFonts w:hint="eastAsia" w:asciiTheme="minorEastAsia" w:hAnsiTheme="minorEastAsia" w:eastAsiaTheme="minorEastAsia" w:cstheme="minorEastAsia"/>
          <w:spacing w:val="-4"/>
          <w:sz w:val="28"/>
          <w:szCs w:val="28"/>
        </w:rPr>
        <w:t>良好的技</w:t>
      </w:r>
      <w:r>
        <w:rPr>
          <w:rFonts w:hint="eastAsia" w:asciiTheme="minorEastAsia" w:hAnsiTheme="minorEastAsia" w:eastAsiaTheme="minorEastAsia" w:cstheme="minorEastAsia"/>
          <w:spacing w:val="-5"/>
          <w:sz w:val="28"/>
          <w:szCs w:val="28"/>
        </w:rPr>
        <w:t>能人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才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  <w:lang w:val="en-US" w:eastAsia="zh-CN"/>
        </w:rPr>
        <w:t>培养</w:t>
      </w:r>
      <w:r>
        <w:rPr>
          <w:rFonts w:hint="eastAsia" w:asciiTheme="minorEastAsia" w:hAnsiTheme="minorEastAsia" w:eastAsiaTheme="minorEastAsia" w:cstheme="minorEastAsia"/>
          <w:spacing w:val="-4"/>
          <w:sz w:val="28"/>
          <w:szCs w:val="28"/>
        </w:rPr>
        <w:t>氛围</w:t>
      </w:r>
      <w:r>
        <w:rPr>
          <w:rFonts w:hint="eastAsia" w:asciiTheme="minorEastAsia" w:hAnsiTheme="minorEastAsia" w:eastAsiaTheme="minorEastAsia" w:cstheme="minorEastAsia"/>
          <w:spacing w:val="-4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pacing w:val="-4"/>
          <w:sz w:val="28"/>
          <w:szCs w:val="28"/>
          <w:lang w:val="en-US" w:eastAsia="zh-CN"/>
        </w:rPr>
        <w:t>打造技能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成长成才的环境和基础。通过竞赛宣传，引导全社会尊重、重视、关心技能人才的培养和成长，让尊重劳动、尊重技术、尊重创新成为社会共识。通过竞赛，表彰一批优秀的年轻的技能人才，增强他们的自豪感、获得感，在全国上下营造</w:t>
      </w:r>
      <w:r>
        <w:rPr>
          <w:rFonts w:hint="eastAsia" w:asciiTheme="minorEastAsia" w:hAnsiTheme="minorEastAsia" w:eastAsiaTheme="minorEastAsia" w:cstheme="minorEastAsia"/>
          <w:spacing w:val="-4"/>
          <w:sz w:val="28"/>
          <w:szCs w:val="28"/>
        </w:rPr>
        <w:t>“技能改变命运、匠心成就人生”的崇尚技能的氛围，激励广大</w:t>
      </w:r>
      <w:r>
        <w:rPr>
          <w:rFonts w:hint="eastAsia" w:asciiTheme="minorEastAsia" w:hAnsiTheme="minorEastAsia" w:eastAsiaTheme="minorEastAsia" w:cstheme="minorEastAsia"/>
          <w:spacing w:val="-5"/>
          <w:sz w:val="28"/>
          <w:szCs w:val="28"/>
        </w:rPr>
        <w:t>青年</w:t>
      </w: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</w:rPr>
        <w:t>走技能成才、技能报国之路。</w:t>
      </w:r>
    </w:p>
    <w:p>
      <w:pPr>
        <w:pStyle w:val="3"/>
        <w:ind w:firstLine="0" w:firstLineChars="0"/>
        <w:rPr>
          <w:rFonts w:hint="eastAsia" w:ascii="宋体" w:hAnsi="宋体" w:eastAsia="宋体" w:cs="宋体"/>
          <w:lang w:eastAsia="zh-CN"/>
        </w:rPr>
      </w:pPr>
      <w:bookmarkStart w:id="17" w:name="_Toc1753392718"/>
      <w:bookmarkStart w:id="18" w:name="_Toc481313998"/>
      <w:bookmarkStart w:id="19" w:name="_Toc21519"/>
      <w:r>
        <w:rPr>
          <w:rFonts w:hint="eastAsia" w:ascii="宋体" w:hAnsi="宋体" w:eastAsia="宋体" w:cs="宋体"/>
          <w:lang w:eastAsia="zh-CN"/>
        </w:rPr>
        <w:t>1.</w:t>
      </w:r>
      <w:r>
        <w:rPr>
          <w:rFonts w:hint="eastAsia" w:ascii="宋体" w:hAnsi="宋体" w:cs="宋体"/>
          <w:lang w:val="en-US" w:eastAsia="zh-CN"/>
        </w:rPr>
        <w:t>4</w:t>
      </w:r>
      <w:r>
        <w:rPr>
          <w:rFonts w:hint="eastAsia" w:ascii="宋体" w:hAnsi="宋体" w:eastAsia="宋体" w:cs="宋体"/>
          <w:lang w:eastAsia="zh-CN"/>
        </w:rPr>
        <w:t xml:space="preserve"> 相关文件</w:t>
      </w:r>
      <w:bookmarkEnd w:id="17"/>
      <w:bookmarkEnd w:id="18"/>
      <w:bookmarkEnd w:id="19"/>
    </w:p>
    <w:p>
      <w:pPr>
        <w:ind w:firstLine="56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本项目技术工作文件只包含项目技术工作的相关信息。除阅读本文件外，开展本技能项目竞赛还需配合其他相关文件一同使用：</w:t>
      </w:r>
      <w:bookmarkStart w:id="20" w:name="_Toc481313999"/>
    </w:p>
    <w:p>
      <w:pPr>
        <w:pStyle w:val="2"/>
        <w:numPr>
          <w:ilvl w:val="0"/>
          <w:numId w:val="1"/>
        </w:numPr>
        <w:spacing w:before="156" w:after="156"/>
        <w:ind w:left="0" w:leftChars="0" w:firstLine="0" w:firstLineChars="0"/>
        <w:rPr>
          <w:rFonts w:hint="eastAsia" w:ascii="宋体" w:hAnsi="宋体" w:eastAsia="宋体" w:cs="宋体"/>
          <w:sz w:val="36"/>
          <w:szCs w:val="36"/>
          <w:lang w:eastAsia="zh-CN"/>
        </w:rPr>
      </w:pPr>
      <w:bookmarkStart w:id="21" w:name="_Toc18345"/>
      <w:bookmarkStart w:id="22" w:name="_Toc1500807292"/>
      <w:bookmarkStart w:id="23" w:name="_Toc28719"/>
      <w:r>
        <w:rPr>
          <w:rFonts w:hint="eastAsia" w:ascii="宋体" w:hAnsi="宋体" w:eastAsia="宋体" w:cs="宋体"/>
          <w:sz w:val="36"/>
          <w:szCs w:val="36"/>
          <w:lang w:eastAsia="zh-CN"/>
        </w:rPr>
        <w:t>选手需具备的能力</w:t>
      </w:r>
      <w:bookmarkEnd w:id="20"/>
      <w:bookmarkEnd w:id="21"/>
      <w:bookmarkEnd w:id="22"/>
      <w:bookmarkEnd w:id="23"/>
      <w:bookmarkStart w:id="24" w:name="_Toc481314000"/>
    </w:p>
    <w:p>
      <w:pPr>
        <w:pStyle w:val="9"/>
        <w:ind w:left="0" w:leftChars="0" w:firstLine="560" w:firstLineChars="200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en-US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en-US"/>
        </w:rPr>
        <w:t>参照《信息安全技术网络安全等级保护定级指南》、《信息安全技术信息系统通用安全技术要求》、《信息安全技术网络基础安全技术要求》、《信息安全技术信息系统安全管理要求》，选手应具备的能力包括一下的知识和技能。</w:t>
      </w:r>
    </w:p>
    <w:p>
      <w:pP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en-US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en-US"/>
        </w:rPr>
        <w:br w:type="page"/>
      </w:r>
    </w:p>
    <w:tbl>
      <w:tblPr>
        <w:tblStyle w:val="15"/>
        <w:tblpPr w:leftFromText="180" w:rightFromText="180" w:vertAnchor="text" w:horzAnchor="page" w:tblpX="1552" w:tblpY="274"/>
        <w:tblOverlap w:val="never"/>
        <w:tblW w:w="927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1"/>
        <w:gridCol w:w="82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9278" w:type="dxa"/>
            <w:gridSpan w:val="2"/>
            <w:shd w:val="clear" w:color="auto" w:fill="CCCCCC"/>
            <w:vAlign w:val="top"/>
          </w:tcPr>
          <w:p>
            <w:pPr>
              <w:tabs>
                <w:tab w:val="left" w:pos="3157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981" w:type="dxa"/>
            <w:shd w:val="clear" w:color="auto" w:fill="E5E5E5"/>
            <w:vAlign w:val="top"/>
          </w:tcPr>
          <w:p>
            <w:pPr>
              <w:pStyle w:val="14"/>
              <w:spacing w:before="78" w:line="176" w:lineRule="auto"/>
              <w:ind w:left="13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8297" w:type="dxa"/>
            <w:shd w:val="clear" w:color="auto" w:fill="E5E5E5"/>
            <w:vAlign w:val="top"/>
          </w:tcPr>
          <w:p>
            <w:pPr>
              <w:pStyle w:val="14"/>
              <w:spacing w:before="37" w:line="207" w:lineRule="auto"/>
              <w:ind w:left="12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工作组织和管理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5" w:hRule="atLeast"/>
          <w:jc w:val="center"/>
        </w:trPr>
        <w:tc>
          <w:tcPr>
            <w:tcW w:w="981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8297" w:type="dxa"/>
            <w:vAlign w:val="top"/>
          </w:tcPr>
          <w:p>
            <w:pPr>
              <w:pStyle w:val="14"/>
              <w:spacing w:before="38" w:line="222" w:lineRule="auto"/>
              <w:ind w:left="12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个人（选手）需了解和理解：</w:t>
            </w:r>
          </w:p>
          <w:p>
            <w:pPr>
              <w:pStyle w:val="14"/>
              <w:spacing w:before="183" w:line="191" w:lineRule="auto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.健康与安全相关法规、义务、规定。</w:t>
            </w:r>
          </w:p>
          <w:p>
            <w:pPr>
              <w:pStyle w:val="14"/>
              <w:spacing w:before="286" w:line="624" w:lineRule="exact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29"/>
                <w:sz w:val="24"/>
                <w:szCs w:val="24"/>
              </w:rPr>
              <w:t>.必须使用个人防护用品的场合，如：静电防护、静电放电。</w:t>
            </w:r>
          </w:p>
          <w:p>
            <w:pPr>
              <w:pStyle w:val="14"/>
              <w:spacing w:line="189" w:lineRule="auto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.在处理用户设备和信息时的诚信和安全的重要性。</w:t>
            </w:r>
          </w:p>
          <w:p>
            <w:pPr>
              <w:pStyle w:val="14"/>
              <w:spacing w:before="290" w:line="624" w:lineRule="exact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29"/>
                <w:sz w:val="24"/>
                <w:szCs w:val="24"/>
              </w:rPr>
              <w:t>.废物回收、安全处置的重要性。</w:t>
            </w:r>
          </w:p>
          <w:p>
            <w:pPr>
              <w:pStyle w:val="14"/>
              <w:spacing w:before="1" w:line="191" w:lineRule="auto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.计划、调度和优先处置的方法。</w:t>
            </w:r>
          </w:p>
        </w:tc>
      </w:tr>
    </w:tbl>
    <w:tbl>
      <w:tblPr>
        <w:tblStyle w:val="15"/>
        <w:tblpPr w:leftFromText="180" w:rightFromText="180" w:vertAnchor="text" w:horzAnchor="page" w:tblpX="1536" w:tblpY="3330"/>
        <w:tblOverlap w:val="never"/>
        <w:tblW w:w="927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6"/>
        <w:gridCol w:w="82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  <w:jc w:val="center"/>
        </w:trPr>
        <w:tc>
          <w:tcPr>
            <w:tcW w:w="986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ab/>
            </w:r>
          </w:p>
        </w:tc>
        <w:tc>
          <w:tcPr>
            <w:tcW w:w="8284" w:type="dxa"/>
            <w:vAlign w:val="top"/>
          </w:tcPr>
          <w:p>
            <w:pPr>
              <w:pStyle w:val="14"/>
              <w:spacing w:before="202" w:line="624" w:lineRule="exact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29"/>
                <w:sz w:val="24"/>
                <w:szCs w:val="24"/>
              </w:rPr>
              <w:t>.在所有的工作实践过程中，注重准确、检验和细节的重要性。</w:t>
            </w:r>
          </w:p>
          <w:p>
            <w:pPr>
              <w:pStyle w:val="14"/>
              <w:spacing w:before="1" w:line="189" w:lineRule="auto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.系统性开展工作的重要性。</w:t>
            </w:r>
          </w:p>
          <w:p>
            <w:pPr>
              <w:pStyle w:val="14"/>
              <w:spacing w:before="288" w:line="190" w:lineRule="auto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.工作环境的6S管理。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9" w:hRule="atLeast"/>
          <w:jc w:val="center"/>
        </w:trPr>
        <w:tc>
          <w:tcPr>
            <w:tcW w:w="986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8284" w:type="dxa"/>
            <w:vAlign w:val="top"/>
          </w:tcPr>
          <w:p>
            <w:pPr>
              <w:pStyle w:val="14"/>
              <w:spacing w:before="36" w:line="222" w:lineRule="auto"/>
              <w:ind w:left="12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个人（选手）应具备的能力：</w:t>
            </w:r>
          </w:p>
          <w:p>
            <w:pPr>
              <w:pStyle w:val="14"/>
              <w:spacing w:before="187" w:line="624" w:lineRule="exact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29"/>
                <w:sz w:val="24"/>
                <w:szCs w:val="24"/>
              </w:rPr>
              <w:t>.遵守健康和安全标准、规则和规章制度。</w:t>
            </w:r>
          </w:p>
          <w:p>
            <w:pPr>
              <w:pStyle w:val="14"/>
              <w:spacing w:before="1" w:line="189" w:lineRule="auto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.保持安全的工作环境。</w:t>
            </w:r>
          </w:p>
          <w:p>
            <w:pPr>
              <w:pStyle w:val="14"/>
              <w:spacing w:before="288" w:line="190" w:lineRule="auto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.识别并使用适当的个人静电防护设备。</w:t>
            </w:r>
          </w:p>
          <w:p>
            <w:pPr>
              <w:pStyle w:val="14"/>
              <w:spacing w:before="289" w:line="189" w:lineRule="auto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.安全、妥善地选择、使用、清洁、维护和储存工具和设备</w:t>
            </w:r>
          </w:p>
          <w:p>
            <w:pPr>
              <w:pStyle w:val="14"/>
              <w:spacing w:before="290" w:line="461" w:lineRule="exact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position w:val="16"/>
                <w:sz w:val="24"/>
                <w:szCs w:val="24"/>
              </w:rPr>
              <w:t>.遵守相关规定，规划工作区域，维持日常整洁，实现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position w:val="16"/>
                <w:sz w:val="24"/>
                <w:szCs w:val="24"/>
              </w:rPr>
              <w:t>最大化工</w:t>
            </w:r>
          </w:p>
          <w:p>
            <w:pPr>
              <w:pStyle w:val="14"/>
              <w:spacing w:line="220" w:lineRule="auto"/>
              <w:ind w:left="12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作效率。</w:t>
            </w:r>
          </w:p>
          <w:p>
            <w:pPr>
              <w:pStyle w:val="14"/>
              <w:spacing w:before="189" w:line="190" w:lineRule="auto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.有效地工作，并定期检查进度和结果。</w:t>
            </w:r>
          </w:p>
          <w:p>
            <w:pPr>
              <w:pStyle w:val="14"/>
              <w:spacing w:before="289" w:line="624" w:lineRule="exact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29"/>
                <w:sz w:val="24"/>
                <w:szCs w:val="24"/>
              </w:rPr>
              <w:t>.采取全面有效的研究方法，确保知识不断更新。</w:t>
            </w:r>
          </w:p>
          <w:p>
            <w:pPr>
              <w:pStyle w:val="14"/>
              <w:spacing w:before="1" w:line="191" w:lineRule="auto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.主动尝试新方法、新系统和愿意接受变革。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986" w:type="dxa"/>
            <w:shd w:val="clear" w:color="auto" w:fill="E5E5E5"/>
            <w:vAlign w:val="top"/>
          </w:tcPr>
          <w:p>
            <w:pPr>
              <w:pStyle w:val="14"/>
              <w:spacing w:before="80" w:line="174" w:lineRule="auto"/>
              <w:ind w:left="19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8284" w:type="dxa"/>
            <w:shd w:val="clear" w:color="auto" w:fill="E5E5E5"/>
            <w:vAlign w:val="top"/>
          </w:tcPr>
          <w:p>
            <w:pPr>
              <w:pStyle w:val="14"/>
              <w:spacing w:before="39" w:line="206" w:lineRule="auto"/>
              <w:ind w:left="12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通讯和人际沟通技巧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5" w:hRule="atLeast"/>
          <w:jc w:val="center"/>
        </w:trPr>
        <w:tc>
          <w:tcPr>
            <w:tcW w:w="986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8284" w:type="dxa"/>
            <w:vAlign w:val="top"/>
          </w:tcPr>
          <w:p>
            <w:pPr>
              <w:pStyle w:val="14"/>
              <w:spacing w:before="39" w:line="222" w:lineRule="auto"/>
              <w:ind w:left="12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个人（选手）需了解和理解：</w:t>
            </w:r>
          </w:p>
          <w:p>
            <w:pPr>
              <w:pStyle w:val="14"/>
              <w:spacing w:before="185" w:line="192" w:lineRule="auto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.倾听是很有效沟通的重要手段。</w:t>
            </w:r>
          </w:p>
          <w:p>
            <w:pPr>
              <w:pStyle w:val="14"/>
              <w:spacing w:before="285" w:line="192" w:lineRule="auto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.团队成员的角色要求和最有效的沟通方式。</w:t>
            </w:r>
          </w:p>
          <w:p>
            <w:pPr>
              <w:pStyle w:val="14"/>
              <w:spacing w:before="285" w:line="461" w:lineRule="exact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position w:val="16"/>
                <w:sz w:val="24"/>
                <w:szCs w:val="24"/>
              </w:rPr>
              <w:t>.与团队成员和管理人员建立和保持创造性的工作关系的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position w:val="16"/>
                <w:sz w:val="24"/>
                <w:szCs w:val="24"/>
              </w:rPr>
              <w:t>重要</w:t>
            </w:r>
          </w:p>
          <w:p>
            <w:pPr>
              <w:pStyle w:val="14"/>
              <w:spacing w:line="220" w:lineRule="auto"/>
              <w:ind w:left="12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</w:rPr>
              <w:t>性。</w:t>
            </w:r>
          </w:p>
          <w:p>
            <w:pPr>
              <w:pStyle w:val="14"/>
              <w:spacing w:before="188" w:line="190" w:lineRule="auto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>.有效的团队合作技巧。</w:t>
            </w:r>
          </w:p>
          <w:p>
            <w:pPr>
              <w:pStyle w:val="14"/>
              <w:spacing w:before="289" w:line="624" w:lineRule="exact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29"/>
                <w:sz w:val="24"/>
                <w:szCs w:val="24"/>
              </w:rPr>
              <w:t>.消除误会和化解冲突的技巧。</w:t>
            </w:r>
          </w:p>
          <w:p>
            <w:pPr>
              <w:pStyle w:val="14"/>
              <w:spacing w:line="191" w:lineRule="auto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.管理紧张和愤怒情绪的能力。</w:t>
            </w:r>
          </w:p>
          <w:p>
            <w:pPr>
              <w:pStyle w:val="14"/>
              <w:spacing w:before="286" w:line="190" w:lineRule="auto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.团队合作的重要性。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  <w:jc w:val="center"/>
        </w:trPr>
        <w:tc>
          <w:tcPr>
            <w:tcW w:w="986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8284" w:type="dxa"/>
            <w:vAlign w:val="top"/>
          </w:tcPr>
          <w:p>
            <w:pPr>
              <w:pStyle w:val="14"/>
              <w:spacing w:before="42" w:line="222" w:lineRule="auto"/>
              <w:ind w:left="12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个人（选手）应具备的能力：</w:t>
            </w:r>
          </w:p>
          <w:p>
            <w:pPr>
              <w:pStyle w:val="14"/>
              <w:spacing w:before="183" w:line="192" w:lineRule="auto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.运用认真倾听和提问的良好技巧，加深对复杂情境的理解。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</w:rPr>
      </w:pPr>
    </w:p>
    <w:p>
      <w:pPr>
        <w:spacing w:line="91" w:lineRule="auto"/>
        <w:rPr>
          <w:rFonts w:hint="eastAsia" w:asciiTheme="minorEastAsia" w:hAnsiTheme="minorEastAsia" w:eastAsiaTheme="minorEastAsia" w:cstheme="minorEastAsia"/>
          <w:sz w:val="2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  <w:sectPr>
          <w:footerReference r:id="rId7" w:type="default"/>
          <w:pgSz w:w="11906" w:h="16839"/>
          <w:pgMar w:top="1431" w:right="1785" w:bottom="1157" w:left="1785" w:header="0" w:footer="992" w:gutter="0"/>
          <w:pgNumType w:fmt="decimal" w:start="1"/>
          <w:cols w:space="720" w:num="1"/>
        </w:sectPr>
      </w:pPr>
    </w:p>
    <w:p>
      <w:pPr>
        <w:spacing w:line="91" w:lineRule="auto"/>
        <w:rPr>
          <w:rFonts w:hint="eastAsia" w:asciiTheme="minorEastAsia" w:hAnsiTheme="minorEastAsia" w:eastAsiaTheme="minorEastAsia" w:cstheme="minorEastAsia"/>
          <w:sz w:val="2"/>
        </w:rPr>
      </w:pPr>
    </w:p>
    <w:tbl>
      <w:tblPr>
        <w:tblStyle w:val="15"/>
        <w:tblW w:w="868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77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2" w:hRule="atLeast"/>
          <w:jc w:val="center"/>
        </w:trPr>
        <w:tc>
          <w:tcPr>
            <w:tcW w:w="97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7709" w:type="dxa"/>
            <w:vAlign w:val="top"/>
          </w:tcPr>
          <w:p>
            <w:pPr>
              <w:pStyle w:val="14"/>
              <w:spacing w:before="202" w:line="624" w:lineRule="exact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29"/>
                <w:sz w:val="24"/>
                <w:szCs w:val="24"/>
              </w:rPr>
              <w:t>.与团队成员进行持续有效的口头和书面沟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position w:val="29"/>
                <w:sz w:val="24"/>
                <w:szCs w:val="24"/>
              </w:rPr>
              <w:t>通。</w:t>
            </w:r>
          </w:p>
          <w:p>
            <w:pPr>
              <w:pStyle w:val="14"/>
              <w:spacing w:before="1" w:line="189" w:lineRule="auto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.认识到并适应团队成员不断变化的需求。</w:t>
            </w:r>
          </w:p>
          <w:p>
            <w:pPr>
              <w:pStyle w:val="14"/>
              <w:spacing w:before="287" w:line="192" w:lineRule="auto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.积极推动，建立强大而有效的团队。</w:t>
            </w:r>
          </w:p>
          <w:p>
            <w:pPr>
              <w:pStyle w:val="14"/>
              <w:spacing w:before="286" w:line="624" w:lineRule="exact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29"/>
                <w:sz w:val="24"/>
                <w:szCs w:val="24"/>
              </w:rPr>
              <w:t>.与团队成员分享知识和专业知识，形成相互支持的学习文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position w:val="29"/>
                <w:sz w:val="24"/>
                <w:szCs w:val="24"/>
              </w:rPr>
              <w:t>化。</w:t>
            </w:r>
          </w:p>
          <w:p>
            <w:pPr>
              <w:pStyle w:val="14"/>
              <w:spacing w:line="191" w:lineRule="auto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.有效管理不良情绪，传递给他人解决问题的信心。</w:t>
            </w:r>
          </w:p>
          <w:p>
            <w:pPr>
              <w:pStyle w:val="14"/>
              <w:spacing w:before="286" w:line="190" w:lineRule="auto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.与工作人员的沟通技巧。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975" w:type="dxa"/>
            <w:shd w:val="clear" w:color="auto" w:fill="E5E5E5"/>
            <w:vAlign w:val="top"/>
          </w:tcPr>
          <w:p>
            <w:pPr>
              <w:pStyle w:val="14"/>
              <w:spacing w:before="79" w:line="175" w:lineRule="auto"/>
              <w:ind w:left="19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7709" w:type="dxa"/>
            <w:shd w:val="clear" w:color="auto" w:fill="E5E5E5"/>
            <w:vAlign w:val="top"/>
          </w:tcPr>
          <w:p>
            <w:pPr>
              <w:pStyle w:val="14"/>
              <w:spacing w:before="37" w:line="207" w:lineRule="auto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安全规定条款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7" w:hRule="atLeast"/>
          <w:jc w:val="center"/>
        </w:trPr>
        <w:tc>
          <w:tcPr>
            <w:tcW w:w="97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7709" w:type="dxa"/>
            <w:vAlign w:val="top"/>
          </w:tcPr>
          <w:p>
            <w:pPr>
              <w:pStyle w:val="14"/>
              <w:spacing w:before="38" w:line="222" w:lineRule="auto"/>
              <w:ind w:left="12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个人（选手）需了解和理解：</w:t>
            </w:r>
          </w:p>
          <w:p>
            <w:pPr>
              <w:pStyle w:val="14"/>
              <w:spacing w:before="186" w:line="624" w:lineRule="exact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29"/>
                <w:sz w:val="24"/>
                <w:szCs w:val="24"/>
              </w:rPr>
              <w:t>.信息技术风险管理标准、政策、要求和过程。</w:t>
            </w:r>
          </w:p>
          <w:p>
            <w:pPr>
              <w:pStyle w:val="14"/>
              <w:spacing w:before="1" w:line="189" w:lineRule="auto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.网络防御和漏洞评估工具的功能和使用方法。</w:t>
            </w:r>
          </w:p>
          <w:p>
            <w:pPr>
              <w:pStyle w:val="14"/>
              <w:spacing w:before="288" w:line="190" w:lineRule="auto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.操作系统的具体功能。</w:t>
            </w:r>
          </w:p>
          <w:p>
            <w:pPr>
              <w:pStyle w:val="14"/>
              <w:spacing w:before="288" w:line="461" w:lineRule="exact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16"/>
                <w:sz w:val="24"/>
                <w:szCs w:val="24"/>
              </w:rPr>
              <w:t>.计算机编程相关概念，包括计算机语言、编程、测试、调试、</w:t>
            </w:r>
          </w:p>
          <w:p>
            <w:pPr>
              <w:pStyle w:val="14"/>
              <w:spacing w:line="222" w:lineRule="auto"/>
              <w:ind w:left="12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删除和文件类型。</w:t>
            </w:r>
          </w:p>
          <w:p>
            <w:pPr>
              <w:pStyle w:val="14"/>
              <w:spacing w:before="187" w:line="191" w:lineRule="auto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.应用于软件开发的网络安全和隐私原则和方法。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2" w:hRule="atLeast"/>
          <w:jc w:val="center"/>
        </w:trPr>
        <w:tc>
          <w:tcPr>
            <w:tcW w:w="97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7709" w:type="dxa"/>
            <w:vAlign w:val="top"/>
          </w:tcPr>
          <w:p>
            <w:pPr>
              <w:pStyle w:val="14"/>
              <w:spacing w:before="39" w:line="222" w:lineRule="auto"/>
              <w:ind w:left="12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个人（选手）应具备的能力：</w:t>
            </w:r>
          </w:p>
          <w:p>
            <w:pPr>
              <w:pStyle w:val="14"/>
              <w:spacing w:before="187" w:line="189" w:lineRule="auto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>.在设计总体程序测试和记录评估过程时,应将网络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4"/>
                <w:szCs w:val="24"/>
              </w:rPr>
              <w:t>安全和隐</w:t>
            </w:r>
          </w:p>
          <w:p>
            <w:pPr>
              <w:pStyle w:val="14"/>
              <w:spacing w:before="126" w:line="360" w:lineRule="auto"/>
              <w:ind w:left="595" w:leftChars="186" w:right="3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</w:rPr>
              <w:t>私原则应用于管理要求(与保密性、完整性、可用性、身份</w:t>
            </w:r>
            <w:r>
              <w:rPr>
                <w:rFonts w:hint="eastAsia" w:asciiTheme="minorEastAsia" w:hAnsiTheme="minorEastAsia" w:eastAsiaTheme="minorEastAsia" w:cstheme="minorEastAsia"/>
                <w:spacing w:val="-11"/>
                <w:sz w:val="24"/>
                <w:szCs w:val="24"/>
              </w:rPr>
              <w:t>验证、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数字签名不可抵赖性相关)。</w:t>
            </w:r>
          </w:p>
          <w:p>
            <w:pPr>
              <w:pStyle w:val="14"/>
              <w:spacing w:before="188" w:line="360" w:lineRule="auto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.对管理、操作和技术安全控制进行独立全面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的评估，并对信息</w:t>
            </w:r>
          </w:p>
          <w:p>
            <w:pPr>
              <w:pStyle w:val="14"/>
              <w:spacing w:before="126" w:line="360" w:lineRule="auto"/>
              <w:ind w:left="122" w:right="107" w:hanging="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技术系统内部或继承的控制改进进行评估，以确定控制的整体有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效性。</w:t>
            </w:r>
          </w:p>
          <w:p>
            <w:pPr>
              <w:pStyle w:val="14"/>
              <w:spacing w:before="189" w:line="624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position w:val="29"/>
                <w:sz w:val="24"/>
                <w:szCs w:val="24"/>
              </w:rPr>
              <w:t>.开发、创建和维护新的计算机应用程序、软件或专门应用程序。</w:t>
            </w:r>
          </w:p>
          <w:p>
            <w:pPr>
              <w:pStyle w:val="14"/>
              <w:spacing w:line="191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.修改现有的计算机应用程序、软件或专门应用程序。</w:t>
            </w:r>
          </w:p>
          <w:p>
            <w:pPr>
              <w:pStyle w:val="14"/>
              <w:spacing w:before="287" w:line="460" w:lineRule="exact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position w:val="16"/>
                <w:sz w:val="24"/>
                <w:szCs w:val="24"/>
              </w:rPr>
              <w:t>.分析新的或者现有计算机应用程序、软件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position w:val="16"/>
                <w:sz w:val="24"/>
                <w:szCs w:val="24"/>
              </w:rPr>
              <w:t>或专业的应用程序的</w:t>
            </w:r>
          </w:p>
          <w:p>
            <w:pPr>
              <w:pStyle w:val="14"/>
              <w:spacing w:before="1" w:line="221" w:lineRule="auto"/>
              <w:ind w:left="0" w:leftChars="0" w:firstLine="472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安全状况，提供可用的分析结果。</w:t>
            </w:r>
          </w:p>
          <w:p>
            <w:pPr>
              <w:pStyle w:val="14"/>
              <w:spacing w:before="187" w:line="190" w:lineRule="auto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.进行软件系统研究并开发新功能，确保有网络安全防护功能。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1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  <w:sectPr>
          <w:footerReference r:id="rId8" w:type="default"/>
          <w:pgSz w:w="11906" w:h="16839"/>
          <w:pgMar w:top="1431" w:right="1785" w:bottom="1157" w:left="1785" w:header="0" w:footer="992" w:gutter="0"/>
          <w:pgNumType w:fmt="decimal"/>
          <w:cols w:space="720" w:num="1"/>
        </w:sectPr>
      </w:pPr>
    </w:p>
    <w:p>
      <w:pPr>
        <w:spacing w:line="91" w:lineRule="auto"/>
        <w:rPr>
          <w:rFonts w:hint="eastAsia" w:asciiTheme="minorEastAsia" w:hAnsiTheme="minorEastAsia" w:eastAsiaTheme="minorEastAsia" w:cstheme="minorEastAsia"/>
          <w:sz w:val="2"/>
        </w:rPr>
      </w:pPr>
    </w:p>
    <w:tbl>
      <w:tblPr>
        <w:tblStyle w:val="15"/>
        <w:tblpPr w:leftFromText="180" w:rightFromText="180" w:vertAnchor="text" w:horzAnchor="page" w:tblpXSpec="center" w:tblpY="94"/>
        <w:tblOverlap w:val="never"/>
        <w:tblW w:w="866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76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6" w:hRule="atLeast"/>
          <w:jc w:val="center"/>
        </w:trPr>
        <w:tc>
          <w:tcPr>
            <w:tcW w:w="97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7694" w:type="dxa"/>
            <w:vAlign w:val="top"/>
          </w:tcPr>
          <w:p>
            <w:pPr>
              <w:pStyle w:val="14"/>
              <w:spacing w:before="202" w:line="463" w:lineRule="exact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position w:val="16"/>
                <w:sz w:val="24"/>
                <w:szCs w:val="24"/>
              </w:rPr>
              <w:t>.进行综合技术研究，对网络安全系统中可能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position w:val="16"/>
                <w:sz w:val="24"/>
                <w:szCs w:val="24"/>
              </w:rPr>
              <w:t>存在的薄弱环节进</w:t>
            </w:r>
          </w:p>
          <w:p>
            <w:pPr>
              <w:pStyle w:val="14"/>
              <w:spacing w:line="220" w:lineRule="auto"/>
              <w:ind w:left="12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行评估。</w:t>
            </w:r>
          </w:p>
          <w:p>
            <w:pPr>
              <w:pStyle w:val="14"/>
              <w:spacing w:before="185" w:line="192" w:lineRule="auto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.计划、准备和实施系统测试。</w:t>
            </w:r>
          </w:p>
          <w:p>
            <w:pPr>
              <w:pStyle w:val="14"/>
              <w:spacing w:before="285" w:line="190" w:lineRule="auto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.根据技术规范和要求，进行分析、评估并形成报告结果。</w:t>
            </w:r>
          </w:p>
          <w:p>
            <w:pPr>
              <w:pStyle w:val="14"/>
              <w:spacing w:before="289" w:line="190" w:lineRule="auto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.测试和评估信息系统的安全情况，涵盖系统开发生命周期。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975" w:type="dxa"/>
            <w:shd w:val="clear" w:color="auto" w:fill="E5E5E5"/>
            <w:vAlign w:val="top"/>
          </w:tcPr>
          <w:p>
            <w:pPr>
              <w:pStyle w:val="14"/>
              <w:spacing w:before="79" w:line="175" w:lineRule="auto"/>
              <w:ind w:left="19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7694" w:type="dxa"/>
            <w:shd w:val="clear" w:color="auto" w:fill="E5E5E5"/>
            <w:vAlign w:val="top"/>
          </w:tcPr>
          <w:p>
            <w:pPr>
              <w:pStyle w:val="14"/>
              <w:spacing w:before="37" w:line="207" w:lineRule="auto"/>
              <w:ind w:left="11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操作、维护、监督和管理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6" w:hRule="atLeast"/>
          <w:jc w:val="center"/>
        </w:trPr>
        <w:tc>
          <w:tcPr>
            <w:tcW w:w="97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7694" w:type="dxa"/>
            <w:vAlign w:val="top"/>
          </w:tcPr>
          <w:p>
            <w:pPr>
              <w:pStyle w:val="14"/>
              <w:spacing w:before="38" w:line="222" w:lineRule="auto"/>
              <w:ind w:left="12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个人（选手）需了解和理解：</w:t>
            </w:r>
          </w:p>
          <w:p>
            <w:pPr>
              <w:pStyle w:val="14"/>
              <w:spacing w:before="186" w:line="624" w:lineRule="exact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position w:val="29"/>
                <w:sz w:val="24"/>
                <w:szCs w:val="24"/>
              </w:rPr>
              <w:t>.查询语言，如SQL(结构化查询语言)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position w:val="29"/>
                <w:sz w:val="24"/>
                <w:szCs w:val="24"/>
              </w:rPr>
              <w:t>。</w:t>
            </w:r>
          </w:p>
          <w:p>
            <w:pPr>
              <w:pStyle w:val="14"/>
              <w:spacing w:before="1" w:line="189" w:lineRule="auto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.数据备份和恢复，数据标准化策略。</w:t>
            </w:r>
          </w:p>
          <w:p>
            <w:pPr>
              <w:pStyle w:val="14"/>
              <w:spacing w:before="288" w:line="461" w:lineRule="exact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position w:val="16"/>
                <w:sz w:val="24"/>
                <w:szCs w:val="24"/>
              </w:rPr>
              <w:t>.网络协议，如TCP/IP、动态主机配置(DHCP)、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position w:val="16"/>
                <w:sz w:val="24"/>
                <w:szCs w:val="24"/>
              </w:rPr>
              <w:t>域名系统(DNS)</w:t>
            </w:r>
          </w:p>
          <w:p>
            <w:pPr>
              <w:pStyle w:val="14"/>
              <w:spacing w:line="222" w:lineRule="auto"/>
              <w:ind w:left="11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和目录服务。</w:t>
            </w:r>
          </w:p>
          <w:p>
            <w:pPr>
              <w:pStyle w:val="14"/>
              <w:spacing w:before="186" w:line="191" w:lineRule="auto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.防火墙概念和功能。</w:t>
            </w:r>
          </w:p>
          <w:p>
            <w:pPr>
              <w:pStyle w:val="14"/>
              <w:spacing w:before="287" w:line="624" w:lineRule="exact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position w:val="29"/>
                <w:sz w:val="24"/>
                <w:szCs w:val="24"/>
              </w:rPr>
              <w:t>.网络安全体系结构的概念，包括拓扑、协议、组件和原则。</w:t>
            </w:r>
          </w:p>
          <w:p>
            <w:pPr>
              <w:pStyle w:val="14"/>
              <w:spacing w:before="1" w:line="189" w:lineRule="auto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.系统、网络和操作系统加固技术。</w:t>
            </w:r>
          </w:p>
          <w:p>
            <w:pPr>
              <w:pStyle w:val="14"/>
              <w:spacing w:before="289" w:line="461" w:lineRule="exact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position w:val="16"/>
                <w:sz w:val="24"/>
                <w:szCs w:val="24"/>
              </w:rPr>
              <w:t>.管理信息技术、用户安全策略(例如：帐户创建、密码规则、</w:t>
            </w:r>
          </w:p>
          <w:p>
            <w:pPr>
              <w:pStyle w:val="14"/>
              <w:spacing w:before="1" w:line="221" w:lineRule="auto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访问控制)。</w:t>
            </w:r>
          </w:p>
          <w:p>
            <w:pPr>
              <w:pStyle w:val="14"/>
              <w:spacing w:before="187" w:line="191" w:lineRule="auto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.信息技术安全原则和方法。</w:t>
            </w:r>
          </w:p>
          <w:p>
            <w:pPr>
              <w:pStyle w:val="14"/>
              <w:spacing w:before="287" w:line="624" w:lineRule="exact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29"/>
                <w:sz w:val="24"/>
                <w:szCs w:val="24"/>
              </w:rPr>
              <w:t>.身份验证、授权和访问控制方法。</w:t>
            </w:r>
          </w:p>
          <w:p>
            <w:pPr>
              <w:pStyle w:val="14"/>
              <w:spacing w:line="191" w:lineRule="auto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.网络安全、漏洞和隐私原则。</w:t>
            </w:r>
          </w:p>
          <w:p>
            <w:pPr>
              <w:pStyle w:val="14"/>
              <w:spacing w:before="287" w:line="189" w:lineRule="auto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.学习管理系统及其在管理学习中的应用。</w:t>
            </w:r>
          </w:p>
          <w:p>
            <w:pPr>
              <w:pStyle w:val="14"/>
              <w:spacing w:before="290" w:line="191" w:lineRule="auto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.网络安全法与其他相关法规对其网络规划的影响。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  <w:jc w:val="center"/>
        </w:trPr>
        <w:tc>
          <w:tcPr>
            <w:tcW w:w="97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7694" w:type="dxa"/>
            <w:vAlign w:val="top"/>
          </w:tcPr>
          <w:p>
            <w:pPr>
              <w:pStyle w:val="14"/>
              <w:spacing w:before="40" w:line="222" w:lineRule="auto"/>
              <w:ind w:left="12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个人（选手）应具备的能力：</w:t>
            </w:r>
          </w:p>
          <w:p>
            <w:pPr>
              <w:pStyle w:val="14"/>
              <w:spacing w:before="186" w:line="192" w:lineRule="auto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.管理数据库或数据库管理系统。</w:t>
            </w:r>
          </w:p>
          <w:p>
            <w:pPr>
              <w:pStyle w:val="14"/>
              <w:spacing w:before="285" w:line="461" w:lineRule="exact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position w:val="16"/>
                <w:sz w:val="24"/>
                <w:szCs w:val="24"/>
              </w:rPr>
              <w:t>.管理并实施流程和工具，确保机构可以识别、存档、获取知识</w:t>
            </w:r>
          </w:p>
          <w:p>
            <w:pPr>
              <w:pStyle w:val="14"/>
              <w:spacing w:line="206" w:lineRule="auto"/>
              <w:ind w:left="13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资产和信息内容。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1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  <w:sectPr>
          <w:footerReference r:id="rId9" w:type="default"/>
          <w:pgSz w:w="11906" w:h="16839"/>
          <w:pgMar w:top="1431" w:right="1785" w:bottom="1157" w:left="1785" w:header="0" w:footer="992" w:gutter="0"/>
          <w:pgNumType w:fmt="decimal"/>
          <w:cols w:space="720" w:num="1"/>
        </w:sectPr>
      </w:pPr>
    </w:p>
    <w:p>
      <w:pPr>
        <w:spacing w:line="91" w:lineRule="auto"/>
        <w:rPr>
          <w:rFonts w:hint="eastAsia" w:asciiTheme="minorEastAsia" w:hAnsiTheme="minorEastAsia" w:eastAsiaTheme="minorEastAsia" w:cstheme="minorEastAsia"/>
          <w:sz w:val="2"/>
        </w:rPr>
      </w:pPr>
    </w:p>
    <w:tbl>
      <w:tblPr>
        <w:tblStyle w:val="15"/>
        <w:tblW w:w="8686" w:type="dxa"/>
        <w:tblInd w:w="-17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2"/>
        <w:gridCol w:w="76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9" w:hRule="atLeast"/>
        </w:trPr>
        <w:tc>
          <w:tcPr>
            <w:tcW w:w="99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7694" w:type="dxa"/>
            <w:vAlign w:val="top"/>
          </w:tcPr>
          <w:p>
            <w:pPr>
              <w:pStyle w:val="14"/>
              <w:spacing w:before="202" w:line="463" w:lineRule="exact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position w:val="16"/>
                <w:sz w:val="24"/>
                <w:szCs w:val="24"/>
              </w:rPr>
              <w:t>.处理问题，安装、配置、排除故障，并按照客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position w:val="16"/>
                <w:sz w:val="24"/>
                <w:szCs w:val="24"/>
              </w:rPr>
              <w:t>户需求或咨询提</w:t>
            </w:r>
          </w:p>
          <w:p>
            <w:pPr>
              <w:pStyle w:val="14"/>
              <w:spacing w:line="221" w:lineRule="auto"/>
              <w:ind w:left="12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供维护和培训。</w:t>
            </w:r>
          </w:p>
          <w:p>
            <w:pPr>
              <w:pStyle w:val="14"/>
              <w:spacing w:before="185" w:line="190" w:lineRule="auto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.安装、配置、测试、运行、维护和管理网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络和防火墙，包括硬</w:t>
            </w:r>
          </w:p>
          <w:p>
            <w:pPr>
              <w:pStyle w:val="14"/>
              <w:spacing w:before="127" w:line="360" w:lineRule="auto"/>
              <w:ind w:left="598" w:leftChars="187" w:right="107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件和软件，确保所有信息的共享、传输，对信息安全和信息系统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提供支持。</w:t>
            </w:r>
          </w:p>
          <w:p>
            <w:pPr>
              <w:pStyle w:val="14"/>
              <w:spacing w:before="184" w:line="463" w:lineRule="exact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position w:val="16"/>
                <w:sz w:val="24"/>
                <w:szCs w:val="24"/>
              </w:rPr>
              <w:t>.安装、配置、调试和维护服务器（硬件和软件</w:t>
            </w:r>
            <w:r>
              <w:rPr>
                <w:rFonts w:hint="eastAsia" w:asciiTheme="minorEastAsia" w:hAnsiTheme="minorEastAsia" w:eastAsiaTheme="minorEastAsia" w:cstheme="minorEastAsia"/>
                <w:spacing w:val="-47"/>
                <w:position w:val="16"/>
                <w:sz w:val="24"/>
                <w:szCs w:val="24"/>
              </w:rPr>
              <w:t>），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position w:val="16"/>
                <w:sz w:val="24"/>
                <w:szCs w:val="24"/>
              </w:rPr>
              <w:t>确保信息保</w:t>
            </w:r>
          </w:p>
          <w:p>
            <w:pPr>
              <w:pStyle w:val="14"/>
              <w:spacing w:line="220" w:lineRule="auto"/>
              <w:ind w:left="13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密性、完整性和可用性。</w:t>
            </w:r>
          </w:p>
          <w:p>
            <w:pPr>
              <w:pStyle w:val="14"/>
              <w:spacing w:before="187" w:line="624" w:lineRule="exact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position w:val="29"/>
                <w:sz w:val="24"/>
                <w:szCs w:val="24"/>
              </w:rPr>
              <w:t>.管理账户、设置防火墙和安装操作系统补丁程序。</w:t>
            </w:r>
          </w:p>
          <w:p>
            <w:pPr>
              <w:pStyle w:val="14"/>
              <w:spacing w:line="191" w:lineRule="auto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.访问控制、账户和密码的创建和管理。</w:t>
            </w:r>
          </w:p>
          <w:p>
            <w:pPr>
              <w:pStyle w:val="14"/>
              <w:spacing w:before="287" w:line="463" w:lineRule="exact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position w:val="16"/>
                <w:sz w:val="24"/>
                <w:szCs w:val="24"/>
              </w:rPr>
              <w:t>.检查机构的现有计算机系统和流程，帮助该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position w:val="16"/>
                <w:sz w:val="24"/>
                <w:szCs w:val="24"/>
              </w:rPr>
              <w:t>机构更安全、更快</w:t>
            </w:r>
          </w:p>
          <w:p>
            <w:pPr>
              <w:pStyle w:val="14"/>
              <w:spacing w:line="223" w:lineRule="auto"/>
              <w:ind w:left="12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捷和更高效的运营。</w:t>
            </w:r>
          </w:p>
          <w:p>
            <w:pPr>
              <w:pStyle w:val="14"/>
              <w:spacing w:before="184" w:line="240" w:lineRule="auto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.协助监督信息系统或网络，管理机构内部的信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息安全可能存在</w:t>
            </w:r>
          </w:p>
          <w:p>
            <w:pPr>
              <w:pStyle w:val="14"/>
              <w:spacing w:before="128" w:line="360" w:lineRule="auto"/>
              <w:ind w:left="602" w:leftChars="188" w:right="9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的问题或其他需要负责的各方面，包括策略、人员、基础架构、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需求、政策执行、应急计划、安全意识和其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他资源。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92" w:type="dxa"/>
            <w:shd w:val="clear" w:color="auto" w:fill="E5E5E5"/>
            <w:vAlign w:val="top"/>
          </w:tcPr>
          <w:p>
            <w:pPr>
              <w:pStyle w:val="14"/>
              <w:spacing w:before="83" w:line="172" w:lineRule="auto"/>
              <w:ind w:left="19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7694" w:type="dxa"/>
            <w:shd w:val="clear" w:color="auto" w:fill="E5E5E5"/>
            <w:vAlign w:val="top"/>
          </w:tcPr>
          <w:p>
            <w:pPr>
              <w:pStyle w:val="14"/>
              <w:spacing w:before="39" w:line="206" w:lineRule="auto"/>
              <w:ind w:left="12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保护和防御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4" w:hRule="atLeast"/>
        </w:trPr>
        <w:tc>
          <w:tcPr>
            <w:tcW w:w="99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7694" w:type="dxa"/>
            <w:vAlign w:val="top"/>
          </w:tcPr>
          <w:p>
            <w:pPr>
              <w:pStyle w:val="14"/>
              <w:spacing w:before="39" w:line="222" w:lineRule="auto"/>
              <w:ind w:left="12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个人（选手）需了解和理解：</w:t>
            </w:r>
          </w:p>
          <w:p>
            <w:pPr>
              <w:pStyle w:val="14"/>
              <w:spacing w:before="186" w:line="460" w:lineRule="exact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position w:val="16"/>
                <w:sz w:val="24"/>
                <w:szCs w:val="24"/>
              </w:rPr>
              <w:t>.文件系统实施(例如,新技术文件系统[NTFS]、文件分配表</w:t>
            </w:r>
          </w:p>
          <w:p>
            <w:pPr>
              <w:pStyle w:val="14"/>
              <w:spacing w:line="222" w:lineRule="auto"/>
              <w:ind w:left="14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[FAT]、文件扩展名[EXT])。</w:t>
            </w:r>
          </w:p>
          <w:p>
            <w:pPr>
              <w:pStyle w:val="14"/>
              <w:spacing w:before="186" w:line="460" w:lineRule="exact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position w:val="16"/>
                <w:sz w:val="24"/>
                <w:szCs w:val="24"/>
              </w:rPr>
              <w:t>.系统文件(例如：日志文件、注册表文件、配置文件)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position w:val="16"/>
                <w:sz w:val="24"/>
                <w:szCs w:val="24"/>
              </w:rPr>
              <w:t>包含相</w:t>
            </w:r>
          </w:p>
          <w:p>
            <w:pPr>
              <w:pStyle w:val="14"/>
              <w:spacing w:before="1" w:line="219" w:lineRule="auto"/>
              <w:ind w:left="12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关信息以及这些系统文件存储位置。</w:t>
            </w:r>
          </w:p>
          <w:p>
            <w:pPr>
              <w:pStyle w:val="14"/>
              <w:spacing w:before="190" w:line="624" w:lineRule="exact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position w:val="29"/>
                <w:sz w:val="24"/>
                <w:szCs w:val="24"/>
              </w:rPr>
              <w:t>.网络安全体系结构的概念，包括拓扑、协议、分层和原理。</w:t>
            </w:r>
          </w:p>
          <w:p>
            <w:pPr>
              <w:pStyle w:val="14"/>
              <w:spacing w:before="1" w:line="190" w:lineRule="auto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.行业技术标准和分析原则、方法和工具。</w:t>
            </w:r>
          </w:p>
          <w:p>
            <w:pPr>
              <w:pStyle w:val="14"/>
              <w:spacing w:before="287" w:line="624" w:lineRule="exact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29"/>
                <w:sz w:val="24"/>
                <w:szCs w:val="24"/>
              </w:rPr>
              <w:t>.威胁调查、报告、调查工具和法律、法规。</w:t>
            </w:r>
          </w:p>
          <w:p>
            <w:pPr>
              <w:pStyle w:val="14"/>
              <w:spacing w:line="191" w:lineRule="auto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.网络安全事件类别、响应和处理方法。</w:t>
            </w:r>
          </w:p>
          <w:p>
            <w:pPr>
              <w:pStyle w:val="14"/>
              <w:spacing w:before="287" w:line="190" w:lineRule="auto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.网络防御和漏洞评估工具及其功能。</w:t>
            </w:r>
          </w:p>
          <w:p>
            <w:pPr>
              <w:pStyle w:val="14"/>
              <w:spacing w:before="289" w:line="624" w:lineRule="exact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29"/>
                <w:sz w:val="24"/>
                <w:szCs w:val="24"/>
              </w:rPr>
              <w:t>.对于已知安全风险的应对措施。</w:t>
            </w:r>
          </w:p>
          <w:p>
            <w:pPr>
              <w:pStyle w:val="14"/>
              <w:spacing w:before="1" w:line="191" w:lineRule="auto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.身份验证、授权和访问方法。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9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7694" w:type="dxa"/>
            <w:vAlign w:val="top"/>
          </w:tcPr>
          <w:p>
            <w:pPr>
              <w:pStyle w:val="14"/>
              <w:spacing w:before="42" w:line="206" w:lineRule="auto"/>
              <w:ind w:left="12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个人（选手）应具备的能力：</w:t>
            </w:r>
          </w:p>
        </w:tc>
      </w:tr>
    </w:tbl>
    <w:tbl>
      <w:tblPr>
        <w:tblStyle w:val="15"/>
        <w:tblpPr w:leftFromText="180" w:rightFromText="180" w:vertAnchor="text" w:horzAnchor="page" w:tblpX="1649" w:tblpY="151"/>
        <w:tblOverlap w:val="never"/>
        <w:tblW w:w="866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5"/>
        <w:gridCol w:w="77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1" w:hRule="atLeast"/>
        </w:trPr>
        <w:tc>
          <w:tcPr>
            <w:tcW w:w="95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7709" w:type="dxa"/>
            <w:vAlign w:val="top"/>
          </w:tcPr>
          <w:p>
            <w:pPr>
              <w:pStyle w:val="14"/>
              <w:spacing w:before="202" w:line="191" w:lineRule="auto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.使用防护措施和利用不同渠道收集的信息，以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识别、分析和报</w:t>
            </w:r>
          </w:p>
          <w:p>
            <w:pPr>
              <w:pStyle w:val="14"/>
              <w:spacing w:before="125" w:line="360" w:lineRule="auto"/>
              <w:ind w:left="598" w:leftChars="187" w:right="107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告发生的、或可能发生的网络事件，以保护信息、信息系统和网络免于威胁。</w:t>
            </w:r>
          </w:p>
          <w:p>
            <w:pPr>
              <w:pStyle w:val="14"/>
              <w:spacing w:before="184" w:line="463" w:lineRule="exact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16"/>
                <w:sz w:val="24"/>
                <w:szCs w:val="24"/>
              </w:rPr>
              <w:t>.测试、实施、部署、维护、检查、管理硬件基础架构和软件，</w:t>
            </w:r>
          </w:p>
          <w:p>
            <w:pPr>
              <w:pStyle w:val="14"/>
              <w:spacing w:line="221" w:lineRule="auto"/>
              <w:ind w:left="11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按要求有效管理计算机网络防护服务提供商的网络和资源。</w:t>
            </w:r>
          </w:p>
          <w:p>
            <w:pPr>
              <w:pStyle w:val="14"/>
              <w:spacing w:before="185" w:line="191" w:lineRule="auto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.监控网络，及时记录未授权的活动。</w:t>
            </w:r>
          </w:p>
          <w:p>
            <w:pPr>
              <w:pStyle w:val="14"/>
              <w:spacing w:before="287" w:line="463" w:lineRule="exact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position w:val="16"/>
                <w:sz w:val="24"/>
                <w:szCs w:val="24"/>
              </w:rPr>
              <w:t>.在所属的领域对危机或者紧急状态做出有效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position w:val="16"/>
                <w:sz w:val="24"/>
                <w:szCs w:val="24"/>
              </w:rPr>
              <w:t>响应，在自己的专</w:t>
            </w:r>
          </w:p>
          <w:p>
            <w:pPr>
              <w:pStyle w:val="14"/>
              <w:spacing w:before="1" w:line="219" w:lineRule="auto"/>
              <w:ind w:left="11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业领域中降低直接和潜在的威胁。</w:t>
            </w:r>
          </w:p>
          <w:p>
            <w:pPr>
              <w:pStyle w:val="14"/>
              <w:spacing w:before="187" w:line="463" w:lineRule="exact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16"/>
                <w:sz w:val="24"/>
                <w:szCs w:val="24"/>
              </w:rPr>
              <w:t>.使用缓解措施、准备措施，按照要求做出响应和实施恢复，以</w:t>
            </w:r>
          </w:p>
          <w:p>
            <w:pPr>
              <w:pStyle w:val="14"/>
              <w:spacing w:before="1" w:line="219" w:lineRule="auto"/>
              <w:ind w:left="12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最大化存活率保障财产和信息的安全。</w:t>
            </w:r>
          </w:p>
          <w:p>
            <w:pPr>
              <w:pStyle w:val="14"/>
              <w:spacing w:before="188" w:line="624" w:lineRule="exact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29"/>
                <w:sz w:val="24"/>
                <w:szCs w:val="24"/>
              </w:rPr>
              <w:t>.调查和分析相关网络安全应急响应活动。</w:t>
            </w:r>
          </w:p>
          <w:p>
            <w:pPr>
              <w:pStyle w:val="14"/>
              <w:spacing w:before="1" w:line="189" w:lineRule="auto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.对威胁和漏洞进行评估。</w:t>
            </w:r>
          </w:p>
          <w:p>
            <w:pPr>
              <w:pStyle w:val="14"/>
              <w:spacing w:before="289" w:line="463" w:lineRule="exact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position w:val="16"/>
                <w:sz w:val="24"/>
                <w:szCs w:val="24"/>
              </w:rPr>
              <w:t>.评估风险水平，制定在业务和非运营情况下采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position w:val="16"/>
                <w:sz w:val="24"/>
                <w:szCs w:val="24"/>
              </w:rPr>
              <w:t>取适当的缓解措</w:t>
            </w:r>
          </w:p>
          <w:p>
            <w:pPr>
              <w:pStyle w:val="14"/>
              <w:spacing w:before="1" w:line="205" w:lineRule="auto"/>
              <w:ind w:left="11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  <w:t>施。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55" w:type="dxa"/>
            <w:shd w:val="clear" w:color="auto" w:fill="E5E5E5"/>
            <w:vAlign w:val="top"/>
          </w:tcPr>
          <w:p>
            <w:pPr>
              <w:pStyle w:val="14"/>
              <w:spacing w:before="80" w:line="174" w:lineRule="auto"/>
              <w:ind w:left="19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</w:t>
            </w:r>
          </w:p>
        </w:tc>
        <w:tc>
          <w:tcPr>
            <w:tcW w:w="7709" w:type="dxa"/>
            <w:shd w:val="clear" w:color="auto" w:fill="E5E5E5"/>
            <w:vAlign w:val="top"/>
          </w:tcPr>
          <w:p>
            <w:pPr>
              <w:pStyle w:val="14"/>
              <w:spacing w:before="39" w:line="206" w:lineRule="auto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</w:rPr>
              <w:t>分析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5" w:hRule="atLeast"/>
        </w:trPr>
        <w:tc>
          <w:tcPr>
            <w:tcW w:w="95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7709" w:type="dxa"/>
            <w:vAlign w:val="top"/>
          </w:tcPr>
          <w:p>
            <w:pPr>
              <w:pStyle w:val="14"/>
              <w:spacing w:before="39" w:line="222" w:lineRule="auto"/>
              <w:ind w:left="12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个人（选手）需了解和理解：</w:t>
            </w:r>
          </w:p>
          <w:p>
            <w:pPr>
              <w:pStyle w:val="14"/>
              <w:spacing w:before="187" w:line="190" w:lineRule="auto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.网络威胁行为者的背景和使用的方法。</w:t>
            </w:r>
          </w:p>
          <w:p>
            <w:pPr>
              <w:pStyle w:val="14"/>
              <w:spacing w:before="287" w:line="190" w:lineRule="auto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.用于检测各种可利用的活动的方法和技术。</w:t>
            </w:r>
          </w:p>
          <w:p>
            <w:pPr>
              <w:pStyle w:val="14"/>
              <w:spacing w:before="288" w:line="624" w:lineRule="exact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position w:val="29"/>
                <w:sz w:val="24"/>
                <w:szCs w:val="24"/>
              </w:rPr>
              <w:t>.网络情报信息收集能力和资源库。</w:t>
            </w:r>
          </w:p>
          <w:p>
            <w:pPr>
              <w:pStyle w:val="14"/>
              <w:spacing w:line="191" w:lineRule="auto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.网络威胁和漏洞。</w:t>
            </w:r>
          </w:p>
          <w:p>
            <w:pPr>
              <w:pStyle w:val="14"/>
              <w:spacing w:before="188" w:line="191" w:lineRule="auto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.漏洞信息传播源(例如，警报、通知、勘误表和公告)。</w:t>
            </w:r>
          </w:p>
          <w:p>
            <w:pPr>
              <w:pStyle w:val="14"/>
              <w:spacing w:before="286" w:line="192" w:lineRule="auto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.开发工具的结构、方法和策略(例如，嗅探、记录键盘)和技</w:t>
            </w:r>
          </w:p>
          <w:p>
            <w:pPr>
              <w:pStyle w:val="14"/>
              <w:spacing w:before="124" w:line="360" w:lineRule="auto"/>
              <w:ind w:left="598" w:leftChars="187" w:right="107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术(例如，获取后门访问、收集机密数据、对网络中的其他系统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进行漏洞分析)。</w:t>
            </w:r>
          </w:p>
          <w:p>
            <w:pPr>
              <w:pStyle w:val="14"/>
              <w:spacing w:before="187" w:line="192" w:lineRule="auto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.预测、模拟威胁和应对的内部策略。</w:t>
            </w:r>
          </w:p>
        </w:tc>
      </w:tr>
    </w:tbl>
    <w:tbl>
      <w:tblPr>
        <w:tblStyle w:val="15"/>
        <w:tblpPr w:leftFromText="180" w:rightFromText="180" w:vertAnchor="text" w:horzAnchor="page" w:tblpX="1673" w:tblpY="188"/>
        <w:tblOverlap w:val="never"/>
        <w:tblW w:w="86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1"/>
        <w:gridCol w:w="77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931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7702" w:type="dxa"/>
            <w:vAlign w:val="top"/>
          </w:tcPr>
          <w:p>
            <w:pPr>
              <w:pStyle w:val="14"/>
              <w:spacing w:before="202" w:line="624" w:lineRule="exact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position w:val="29"/>
                <w:sz w:val="24"/>
                <w:szCs w:val="24"/>
              </w:rPr>
              <w:t>.内部和外部协同的网络操作和工具。</w:t>
            </w:r>
          </w:p>
          <w:p>
            <w:pPr>
              <w:pStyle w:val="14"/>
              <w:spacing w:line="191" w:lineRule="auto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.系统伪造和司法用例。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5" w:hRule="atLeast"/>
        </w:trPr>
        <w:tc>
          <w:tcPr>
            <w:tcW w:w="931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7702" w:type="dxa"/>
            <w:vAlign w:val="top"/>
          </w:tcPr>
          <w:p>
            <w:pPr>
              <w:pStyle w:val="14"/>
              <w:spacing w:before="36" w:line="222" w:lineRule="auto"/>
              <w:ind w:left="12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个人（选手）应具备的能力：</w:t>
            </w:r>
          </w:p>
          <w:p>
            <w:pPr>
              <w:pStyle w:val="14"/>
              <w:spacing w:before="187" w:line="190" w:lineRule="auto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.识别和评估网络安全罪犯活动。</w:t>
            </w:r>
          </w:p>
          <w:p>
            <w:pPr>
              <w:pStyle w:val="14"/>
              <w:spacing w:before="288" w:line="461" w:lineRule="exact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position w:val="16"/>
                <w:sz w:val="24"/>
                <w:szCs w:val="24"/>
              </w:rPr>
              <w:t>.出具调查结果,以帮助初始化或支持执法和反情报调查或活</w:t>
            </w:r>
          </w:p>
          <w:p>
            <w:pPr>
              <w:pStyle w:val="14"/>
              <w:spacing w:line="223" w:lineRule="auto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</w:rPr>
              <w:t>动。</w:t>
            </w:r>
          </w:p>
          <w:p>
            <w:pPr>
              <w:pStyle w:val="14"/>
              <w:spacing w:before="185" w:line="189" w:lineRule="auto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.分析搜集到的信息，找到系统弱点和潜在可被利用的环节。</w:t>
            </w:r>
          </w:p>
          <w:p>
            <w:pPr>
              <w:pStyle w:val="14"/>
              <w:spacing w:before="290" w:line="460" w:lineRule="exact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position w:val="16"/>
                <w:sz w:val="24"/>
                <w:szCs w:val="24"/>
              </w:rPr>
              <w:t>.分析来自情报界的不同渠道、不同学科和不同机构的威胁信</w:t>
            </w:r>
          </w:p>
          <w:p>
            <w:pPr>
              <w:pStyle w:val="14"/>
              <w:spacing w:before="2" w:line="225" w:lineRule="auto"/>
              <w:ind w:left="13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5"/>
                <w:sz w:val="24"/>
                <w:szCs w:val="24"/>
              </w:rPr>
              <w:t>息。</w:t>
            </w:r>
          </w:p>
          <w:p>
            <w:pPr>
              <w:pStyle w:val="14"/>
              <w:spacing w:before="182" w:line="190" w:lineRule="auto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.根据背景情况，同步和放置情报信息，找出可能的含义。</w:t>
            </w:r>
          </w:p>
          <w:p>
            <w:pPr>
              <w:pStyle w:val="14"/>
              <w:spacing w:before="288" w:line="461" w:lineRule="exact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position w:val="16"/>
                <w:sz w:val="24"/>
                <w:szCs w:val="24"/>
              </w:rPr>
              <w:t>.应用来自一个或多个不同国家、地区、组织和技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position w:val="16"/>
                <w:sz w:val="24"/>
                <w:szCs w:val="24"/>
              </w:rPr>
              <w:t>术领域的最新</w:t>
            </w:r>
          </w:p>
          <w:p>
            <w:pPr>
              <w:pStyle w:val="14"/>
              <w:spacing w:line="224" w:lineRule="auto"/>
              <w:ind w:left="12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知识。</w:t>
            </w:r>
          </w:p>
          <w:p>
            <w:pPr>
              <w:pStyle w:val="14"/>
              <w:spacing w:before="184" w:line="460" w:lineRule="exact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position w:val="16"/>
                <w:sz w:val="24"/>
                <w:szCs w:val="24"/>
              </w:rPr>
              <w:t>.应用语言、文化和技术专业知识进行信息收集、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position w:val="16"/>
                <w:sz w:val="24"/>
                <w:szCs w:val="24"/>
              </w:rPr>
              <w:t>分析和其他网</w:t>
            </w:r>
          </w:p>
          <w:p>
            <w:pPr>
              <w:pStyle w:val="14"/>
              <w:spacing w:before="1" w:line="221" w:lineRule="auto"/>
              <w:ind w:left="12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络安全活动。</w:t>
            </w:r>
          </w:p>
          <w:p>
            <w:pPr>
              <w:pStyle w:val="14"/>
              <w:spacing w:before="188" w:line="189" w:lineRule="auto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.识别、保存和使用系统开发过程遗留物并用于分析。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31" w:type="dxa"/>
            <w:shd w:val="clear" w:color="auto" w:fill="E5E5E5"/>
            <w:vAlign w:val="top"/>
          </w:tcPr>
          <w:p>
            <w:pPr>
              <w:pStyle w:val="14"/>
              <w:spacing w:before="82" w:line="173" w:lineRule="auto"/>
              <w:ind w:left="19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</w:t>
            </w:r>
          </w:p>
        </w:tc>
        <w:tc>
          <w:tcPr>
            <w:tcW w:w="7702" w:type="dxa"/>
            <w:shd w:val="clear" w:color="auto" w:fill="E5E5E5"/>
            <w:vAlign w:val="top"/>
          </w:tcPr>
          <w:p>
            <w:pPr>
              <w:pStyle w:val="14"/>
              <w:spacing w:before="39" w:line="206" w:lineRule="auto"/>
              <w:ind w:left="13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收集与操作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1" w:hRule="atLeast"/>
        </w:trPr>
        <w:tc>
          <w:tcPr>
            <w:tcW w:w="931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7702" w:type="dxa"/>
            <w:vAlign w:val="top"/>
          </w:tcPr>
          <w:p>
            <w:pPr>
              <w:pStyle w:val="14"/>
              <w:spacing w:before="39" w:line="222" w:lineRule="auto"/>
              <w:ind w:left="12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个人（选手）需了解和理解：</w:t>
            </w:r>
          </w:p>
          <w:p>
            <w:pPr>
              <w:pStyle w:val="14"/>
              <w:spacing w:before="186" w:line="191" w:lineRule="auto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>..收集策略、技术及工具应用。</w:t>
            </w:r>
          </w:p>
          <w:p>
            <w:pPr>
              <w:pStyle w:val="14"/>
              <w:spacing w:before="286" w:line="191" w:lineRule="auto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.网络信息情报收集能力和资源库的利用。</w:t>
            </w:r>
          </w:p>
          <w:p>
            <w:pPr>
              <w:pStyle w:val="14"/>
              <w:spacing w:before="286" w:line="189" w:lineRule="auto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.信息需求和收集需求的转换、跟踪、优先排序。</w:t>
            </w:r>
          </w:p>
          <w:p>
            <w:pPr>
              <w:pStyle w:val="14"/>
              <w:spacing w:before="290" w:line="624" w:lineRule="exact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position w:val="29"/>
                <w:sz w:val="24"/>
                <w:szCs w:val="24"/>
              </w:rPr>
              <w:t>.网络运营计划方案、策略和有关资源。</w:t>
            </w:r>
          </w:p>
          <w:p>
            <w:pPr>
              <w:pStyle w:val="14"/>
              <w:spacing w:line="191" w:lineRule="auto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.网络运营策略、资源和工具。</w:t>
            </w:r>
          </w:p>
          <w:p>
            <w:pPr>
              <w:pStyle w:val="14"/>
              <w:spacing w:before="287" w:line="461" w:lineRule="exact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position w:val="16"/>
                <w:sz w:val="24"/>
                <w:szCs w:val="24"/>
              </w:rPr>
              <w:t>.网络运营的概念、网络运营术语、网络运营的原则、功能、边</w:t>
            </w:r>
          </w:p>
          <w:p>
            <w:pPr>
              <w:pStyle w:val="14"/>
              <w:spacing w:before="1" w:line="204" w:lineRule="auto"/>
              <w:ind w:left="11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界和效果。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931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7702" w:type="dxa"/>
            <w:vAlign w:val="top"/>
          </w:tcPr>
          <w:p>
            <w:pPr>
              <w:pStyle w:val="14"/>
              <w:spacing w:before="42" w:line="222" w:lineRule="auto"/>
              <w:ind w:left="12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个人（选手）应具备的能力：</w:t>
            </w:r>
          </w:p>
          <w:p>
            <w:pPr>
              <w:pStyle w:val="14"/>
              <w:spacing w:before="184" w:line="463" w:lineRule="exact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position w:val="16"/>
                <w:sz w:val="24"/>
                <w:szCs w:val="24"/>
              </w:rPr>
              <w:t>.运用适当的策略，通过收集管理的流程建立优先级，从而执</w:t>
            </w:r>
          </w:p>
          <w:p>
            <w:pPr>
              <w:pStyle w:val="14"/>
              <w:spacing w:before="1" w:line="204" w:lineRule="auto"/>
              <w:ind w:left="12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行信息收集。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1"/>
        </w:rPr>
      </w:pPr>
    </w:p>
    <w:p>
      <w:pPr>
        <w:spacing w:line="91" w:lineRule="auto"/>
        <w:rPr>
          <w:rFonts w:hint="eastAsia" w:asciiTheme="minorEastAsia" w:hAnsiTheme="minorEastAsia" w:eastAsiaTheme="minorEastAsia" w:cstheme="minorEastAsia"/>
          <w:sz w:val="2"/>
        </w:rPr>
      </w:pPr>
    </w:p>
    <w:p>
      <w:pPr>
        <w:spacing w:line="91" w:lineRule="auto"/>
        <w:rPr>
          <w:rFonts w:hint="eastAsia" w:asciiTheme="minorEastAsia" w:hAnsiTheme="minorEastAsia" w:eastAsiaTheme="minorEastAsia" w:cstheme="minorEastAsia"/>
          <w:sz w:val="2"/>
        </w:rPr>
      </w:pPr>
    </w:p>
    <w:tbl>
      <w:tblPr>
        <w:tblStyle w:val="15"/>
        <w:tblW w:w="8645" w:type="dxa"/>
        <w:tblInd w:w="-15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7"/>
        <w:gridCol w:w="767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2" w:hRule="atLeast"/>
        </w:trPr>
        <w:tc>
          <w:tcPr>
            <w:tcW w:w="96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7678" w:type="dxa"/>
            <w:vAlign w:val="top"/>
          </w:tcPr>
          <w:p>
            <w:pPr>
              <w:pStyle w:val="14"/>
              <w:spacing w:before="202" w:line="624" w:lineRule="exact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29"/>
                <w:sz w:val="24"/>
                <w:szCs w:val="24"/>
              </w:rPr>
              <w:t>.执行深入的联合目标定位，执行网络安全流程。</w:t>
            </w:r>
          </w:p>
          <w:p>
            <w:pPr>
              <w:pStyle w:val="14"/>
              <w:spacing w:line="190" w:lineRule="auto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.依照需求收集信息，执行详细计划及订单。</w:t>
            </w:r>
          </w:p>
          <w:p>
            <w:pPr>
              <w:pStyle w:val="14"/>
              <w:spacing w:before="287" w:line="463" w:lineRule="exact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position w:val="16"/>
                <w:sz w:val="24"/>
                <w:szCs w:val="24"/>
              </w:rPr>
              <w:t>.支持收集关于网络威胁的证据，减轻或免受可能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position w:val="16"/>
                <w:sz w:val="24"/>
                <w:szCs w:val="24"/>
              </w:rPr>
              <w:t>的或实时的网</w:t>
            </w:r>
          </w:p>
          <w:p>
            <w:pPr>
              <w:pStyle w:val="14"/>
              <w:spacing w:line="206" w:lineRule="auto"/>
              <w:ind w:left="12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络威胁。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67" w:type="dxa"/>
            <w:shd w:val="clear" w:color="auto" w:fill="E5E5E5"/>
            <w:vAlign w:val="top"/>
          </w:tcPr>
          <w:p>
            <w:pPr>
              <w:pStyle w:val="14"/>
              <w:spacing w:before="79" w:line="175" w:lineRule="auto"/>
              <w:ind w:left="19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</w:t>
            </w:r>
          </w:p>
        </w:tc>
        <w:tc>
          <w:tcPr>
            <w:tcW w:w="7678" w:type="dxa"/>
            <w:shd w:val="clear" w:color="auto" w:fill="E5E5E5"/>
            <w:vAlign w:val="top"/>
          </w:tcPr>
          <w:p>
            <w:pPr>
              <w:pStyle w:val="14"/>
              <w:spacing w:before="37" w:line="207" w:lineRule="auto"/>
              <w:ind w:left="11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  <w:t>调查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2" w:hRule="atLeast"/>
        </w:trPr>
        <w:tc>
          <w:tcPr>
            <w:tcW w:w="96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7678" w:type="dxa"/>
            <w:vAlign w:val="top"/>
          </w:tcPr>
          <w:p>
            <w:pPr>
              <w:pStyle w:val="14"/>
              <w:spacing w:before="38" w:line="222" w:lineRule="auto"/>
              <w:ind w:left="12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个人（选手）需了解和理解：</w:t>
            </w:r>
          </w:p>
          <w:p>
            <w:pPr>
              <w:pStyle w:val="14"/>
              <w:spacing w:before="186" w:line="360" w:lineRule="auto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29"/>
                <w:sz w:val="24"/>
                <w:szCs w:val="24"/>
              </w:rPr>
              <w:t>.威胁调查、报告、调查工具和法律、法规。</w:t>
            </w:r>
          </w:p>
          <w:p>
            <w:pPr>
              <w:pStyle w:val="14"/>
              <w:spacing w:line="360" w:lineRule="auto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.恶意软件分析的概念和方法。</w:t>
            </w:r>
          </w:p>
          <w:p>
            <w:pPr>
              <w:pStyle w:val="14"/>
              <w:spacing w:line="360" w:lineRule="auto"/>
              <w:ind w:left="122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.收集、打包、传输和储存电子证据的过程，同时并维持监管链。</w:t>
            </w:r>
          </w:p>
          <w:p>
            <w:pPr>
              <w:pStyle w:val="14"/>
              <w:spacing w:line="240" w:lineRule="auto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.司法流程，包括事实陈述和证据。</w:t>
            </w:r>
          </w:p>
          <w:p>
            <w:pPr>
              <w:pStyle w:val="14"/>
              <w:spacing w:before="286" w:line="240" w:lineRule="auto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.持久性数据的类型和集合。</w:t>
            </w:r>
          </w:p>
          <w:p>
            <w:pPr>
              <w:pStyle w:val="14"/>
              <w:spacing w:before="288" w:line="624" w:lineRule="exact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29"/>
                <w:sz w:val="24"/>
                <w:szCs w:val="24"/>
              </w:rPr>
              <w:t>.数字取证数据的类型和识别方法。</w:t>
            </w:r>
          </w:p>
          <w:p>
            <w:pPr>
              <w:pStyle w:val="14"/>
              <w:spacing w:before="2" w:line="189" w:lineRule="auto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.网络安全漏洞的具体操作性影响。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96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7678" w:type="dxa"/>
            <w:vAlign w:val="top"/>
          </w:tcPr>
          <w:p>
            <w:pPr>
              <w:pStyle w:val="14"/>
              <w:spacing w:before="40" w:line="222" w:lineRule="auto"/>
              <w:ind w:left="12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个人（选手）应具备的能力：</w:t>
            </w:r>
          </w:p>
          <w:p>
            <w:pPr>
              <w:pStyle w:val="14"/>
              <w:spacing w:before="187" w:line="460" w:lineRule="exact"/>
              <w:ind w:left="12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position w:val="16"/>
                <w:sz w:val="24"/>
                <w:szCs w:val="24"/>
              </w:rPr>
              <w:t>.收集、处理、保存、分析和提供计算机相关的证据，以减轻</w:t>
            </w:r>
          </w:p>
          <w:p>
            <w:pPr>
              <w:pStyle w:val="14"/>
              <w:spacing w:before="1" w:line="207" w:lineRule="auto"/>
              <w:ind w:left="14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网络脆弱性，支持犯罪、欺诈、反间谍或执法的调查。</w:t>
            </w:r>
          </w:p>
        </w:tc>
      </w:tr>
    </w:tbl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br w:type="page"/>
      </w:r>
    </w:p>
    <w:p>
      <w:pPr>
        <w:pStyle w:val="9"/>
        <w:ind w:left="0" w:leftChars="0" w:firstLine="0" w:firstLineChars="0"/>
        <w:rPr>
          <w:rFonts w:hint="eastAsia" w:ascii="宋体" w:hAnsi="宋体" w:eastAsia="宋体" w:cs="宋体"/>
          <w:lang w:eastAsia="zh-CN"/>
        </w:rPr>
      </w:pPr>
    </w:p>
    <w:p>
      <w:pPr>
        <w:pStyle w:val="2"/>
        <w:spacing w:before="156" w:after="156"/>
        <w:rPr>
          <w:rFonts w:hint="eastAsia" w:ascii="宋体" w:hAnsi="宋体" w:eastAsia="宋体" w:cs="宋体"/>
          <w:sz w:val="36"/>
          <w:szCs w:val="36"/>
        </w:rPr>
      </w:pPr>
      <w:bookmarkStart w:id="25" w:name="_Toc1872722629"/>
      <w:bookmarkStart w:id="26" w:name="_Toc14276"/>
      <w:bookmarkStart w:id="27" w:name="_Toc4967"/>
      <w:r>
        <w:rPr>
          <w:rFonts w:hint="eastAsia" w:ascii="宋体" w:hAnsi="宋体" w:eastAsia="宋体" w:cs="宋体"/>
          <w:sz w:val="36"/>
          <w:szCs w:val="36"/>
        </w:rPr>
        <w:t>3.竞赛项目</w:t>
      </w:r>
      <w:bookmarkEnd w:id="24"/>
      <w:bookmarkEnd w:id="25"/>
      <w:bookmarkEnd w:id="26"/>
      <w:bookmarkEnd w:id="27"/>
    </w:p>
    <w:p>
      <w:pPr>
        <w:pStyle w:val="3"/>
        <w:ind w:firstLine="0" w:firstLineChars="0"/>
        <w:rPr>
          <w:rFonts w:hint="eastAsia" w:ascii="宋体" w:hAnsi="宋体" w:eastAsia="宋体" w:cs="宋体"/>
        </w:rPr>
      </w:pPr>
      <w:bookmarkStart w:id="28" w:name="_Toc481314001"/>
      <w:bookmarkStart w:id="29" w:name="_Toc1328895171"/>
      <w:bookmarkStart w:id="30" w:name="_Toc15831"/>
      <w:r>
        <w:rPr>
          <w:rFonts w:hint="eastAsia" w:ascii="宋体" w:hAnsi="宋体" w:eastAsia="宋体" w:cs="宋体"/>
        </w:rPr>
        <w:t>3.1 竞赛模块</w:t>
      </w:r>
      <w:bookmarkEnd w:id="28"/>
      <w:bookmarkEnd w:id="29"/>
      <w:bookmarkEnd w:id="30"/>
    </w:p>
    <w:tbl>
      <w:tblPr>
        <w:tblStyle w:val="10"/>
        <w:tblpPr w:leftFromText="180" w:rightFromText="180" w:vertAnchor="text" w:horzAnchor="margin" w:tblpY="54"/>
        <w:tblW w:w="89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2730"/>
        <w:gridCol w:w="1591"/>
        <w:gridCol w:w="1197"/>
        <w:gridCol w:w="1697"/>
        <w:gridCol w:w="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30" w:type="dxa"/>
            <w:vMerge w:val="restart"/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模块编号</w:t>
            </w:r>
          </w:p>
        </w:tc>
        <w:tc>
          <w:tcPr>
            <w:tcW w:w="2730" w:type="dxa"/>
            <w:vMerge w:val="restart"/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模块名称</w:t>
            </w:r>
          </w:p>
        </w:tc>
        <w:tc>
          <w:tcPr>
            <w:tcW w:w="1591" w:type="dxa"/>
            <w:vMerge w:val="restart"/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竞赛时间</w:t>
            </w:r>
          </w:p>
          <w:p>
            <w:pPr>
              <w:spacing w:line="46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min</w:t>
            </w:r>
          </w:p>
        </w:tc>
        <w:tc>
          <w:tcPr>
            <w:tcW w:w="3682" w:type="dxa"/>
            <w:gridSpan w:val="3"/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30" w:type="dxa"/>
            <w:vMerge w:val="continue"/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2730" w:type="dxa"/>
            <w:vMerge w:val="continue"/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591" w:type="dxa"/>
            <w:vMerge w:val="continue"/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评价分</w:t>
            </w:r>
          </w:p>
        </w:tc>
        <w:tc>
          <w:tcPr>
            <w:tcW w:w="1697" w:type="dxa"/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机器评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分</w:t>
            </w:r>
          </w:p>
        </w:tc>
        <w:tc>
          <w:tcPr>
            <w:tcW w:w="788" w:type="dxa"/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30" w:type="dxa"/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A</w:t>
            </w:r>
          </w:p>
        </w:tc>
        <w:tc>
          <w:tcPr>
            <w:tcW w:w="2730" w:type="dxa"/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基础设施设置、安全</w:t>
            </w:r>
          </w:p>
          <w:p>
            <w:pPr>
              <w:spacing w:line="4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加固</w:t>
            </w:r>
          </w:p>
        </w:tc>
        <w:tc>
          <w:tcPr>
            <w:tcW w:w="1591" w:type="dxa"/>
            <w:vMerge w:val="restart"/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1197" w:type="dxa"/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697" w:type="dxa"/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88" w:type="dxa"/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930" w:type="dxa"/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B</w:t>
            </w:r>
          </w:p>
        </w:tc>
        <w:tc>
          <w:tcPr>
            <w:tcW w:w="2730" w:type="dxa"/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安全事件响应、网络</w:t>
            </w:r>
          </w:p>
          <w:p>
            <w:pPr>
              <w:spacing w:line="4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安全数据取证、应用</w:t>
            </w:r>
          </w:p>
          <w:p>
            <w:pPr>
              <w:spacing w:line="4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安全</w:t>
            </w:r>
          </w:p>
        </w:tc>
        <w:tc>
          <w:tcPr>
            <w:tcW w:w="1591" w:type="dxa"/>
            <w:vMerge w:val="continue"/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697" w:type="dxa"/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788" w:type="dxa"/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30" w:type="dxa"/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C</w:t>
            </w:r>
          </w:p>
        </w:tc>
        <w:tc>
          <w:tcPr>
            <w:tcW w:w="2730" w:type="dxa"/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CTF夺旗攻击</w:t>
            </w:r>
          </w:p>
        </w:tc>
        <w:tc>
          <w:tcPr>
            <w:tcW w:w="1591" w:type="dxa"/>
            <w:vMerge w:val="restart"/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1197" w:type="dxa"/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1697" w:type="dxa"/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88" w:type="dxa"/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30" w:type="dxa"/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D</w:t>
            </w:r>
          </w:p>
        </w:tc>
        <w:tc>
          <w:tcPr>
            <w:tcW w:w="2730" w:type="dxa"/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CTF夺旗防御</w:t>
            </w:r>
          </w:p>
        </w:tc>
        <w:tc>
          <w:tcPr>
            <w:tcW w:w="1591" w:type="dxa"/>
            <w:vMerge w:val="continue"/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697" w:type="dxa"/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88" w:type="dxa"/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660" w:type="dxa"/>
            <w:gridSpan w:val="2"/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总计</w:t>
            </w:r>
          </w:p>
        </w:tc>
        <w:tc>
          <w:tcPr>
            <w:tcW w:w="1591" w:type="dxa"/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180</w:t>
            </w:r>
          </w:p>
        </w:tc>
        <w:tc>
          <w:tcPr>
            <w:tcW w:w="1197" w:type="dxa"/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697" w:type="dxa"/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788" w:type="dxa"/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100</w:t>
            </w:r>
          </w:p>
        </w:tc>
      </w:tr>
    </w:tbl>
    <w:p>
      <w:pPr>
        <w:ind w:firstLine="640"/>
        <w:rPr>
          <w:rFonts w:hint="eastAsia" w:ascii="宋体" w:hAnsi="宋体" w:eastAsia="宋体" w:cs="宋体"/>
        </w:rPr>
      </w:pPr>
    </w:p>
    <w:p>
      <w:pPr>
        <w:pStyle w:val="3"/>
        <w:ind w:firstLine="0" w:firstLineChars="0"/>
        <w:rPr>
          <w:rFonts w:hint="eastAsia" w:ascii="宋体" w:hAnsi="宋体" w:eastAsia="宋体" w:cs="宋体"/>
        </w:rPr>
      </w:pPr>
      <w:bookmarkStart w:id="31" w:name="_Toc481314002"/>
      <w:bookmarkStart w:id="32" w:name="_Toc911210197"/>
      <w:bookmarkStart w:id="33" w:name="_Toc17174"/>
      <w:r>
        <w:rPr>
          <w:rFonts w:hint="eastAsia" w:ascii="宋体" w:hAnsi="宋体" w:eastAsia="宋体" w:cs="宋体"/>
        </w:rPr>
        <w:t xml:space="preserve">3.2 </w:t>
      </w:r>
      <w:bookmarkEnd w:id="31"/>
      <w:r>
        <w:rPr>
          <w:rFonts w:hint="eastAsia" w:ascii="宋体" w:hAnsi="宋体" w:eastAsia="宋体" w:cs="宋体"/>
        </w:rPr>
        <w:t>模块简述</w:t>
      </w:r>
      <w:bookmarkEnd w:id="32"/>
      <w:bookmarkEnd w:id="33"/>
    </w:p>
    <w:p>
      <w:pPr>
        <w:spacing w:line="460" w:lineRule="exact"/>
        <w:ind w:firstLine="0" w:firstLineChars="0"/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3.2.1 模块A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基础设施设置、安全加固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；模块B：</w:t>
      </w:r>
      <w:r>
        <w:rPr>
          <w:rFonts w:hint="eastAsia" w:ascii="宋体" w:hAnsi="宋体" w:eastAsia="宋体" w:cs="宋体"/>
          <w:sz w:val="28"/>
          <w:szCs w:val="28"/>
        </w:rPr>
        <w:t>安全事件响应、网络安全数据取证、应用安全</w:t>
      </w:r>
    </w:p>
    <w:p>
      <w:pPr>
        <w:pStyle w:val="4"/>
        <w:spacing w:before="224" w:line="369" w:lineRule="auto"/>
        <w:ind w:left="133" w:right="112" w:firstLine="556"/>
        <w:rPr>
          <w:rFonts w:hint="eastAsia" w:asciiTheme="minorEastAsia" w:hAnsiTheme="minorEastAsia" w:eastAsiaTheme="minorEastAsia" w:cstheme="minorEastAsia"/>
          <w:spacing w:val="-2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8"/>
          <w:sz w:val="28"/>
          <w:szCs w:val="28"/>
        </w:rPr>
        <w:t>模块A与模块B总分为60分,分为N个任务，每道题的具体分值</w:t>
      </w:r>
      <w:r>
        <w:rPr>
          <w:rFonts w:hint="eastAsia" w:asciiTheme="minorEastAsia" w:hAnsiTheme="minorEastAsia" w:eastAsiaTheme="minorEastAsia" w:cstheme="minorEastAsia"/>
          <w:spacing w:val="-5"/>
          <w:sz w:val="28"/>
          <w:szCs w:val="28"/>
        </w:rPr>
        <w:t>在赛题中标明；模块A基础设施设置、安全加固部分评分由评分裁判客观评分；模块B安全事件响应、网络安全数据取证、应用安全等部</w:t>
      </w: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</w:rPr>
        <w:t>分由系统自动评分和排名，</w:t>
      </w:r>
    </w:p>
    <w:p>
      <w:pPr>
        <w:pStyle w:val="4"/>
        <w:spacing w:before="224" w:line="369" w:lineRule="auto"/>
        <w:ind w:left="0" w:leftChars="0" w:right="112" w:firstLine="0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3.2.2 模块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：CTF夺旗攻击；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模块D：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CTF夺旗防御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根据竞赛任务书的要求，模块C总分为20分，按照选手获得攻击“FLAG”的值得到相应的分数。系统自动评分和排名，对外公开显示。模块D总分为20分，按照选手答题内容，由评分裁判进行客观</w:t>
      </w:r>
    </w:p>
    <w:p>
      <w:pPr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评分。</w:t>
      </w:r>
    </w:p>
    <w:p>
      <w:pPr>
        <w:pStyle w:val="4"/>
        <w:spacing w:before="225" w:line="369" w:lineRule="auto"/>
        <w:ind w:left="130" w:right="112" w:firstLine="424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比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赛试题要求答题，不得以违规形式获取得分，不得违规攻击</w:t>
      </w:r>
      <w:r>
        <w:rPr>
          <w:rFonts w:hint="eastAsia" w:asciiTheme="minorEastAsia" w:hAnsiTheme="minorEastAsia" w:eastAsiaTheme="minorEastAsia" w:cstheme="minorEastAsia"/>
          <w:spacing w:val="-4"/>
          <w:sz w:val="28"/>
          <w:szCs w:val="28"/>
        </w:rPr>
        <w:t>裁判服务器、网关、系统服务器等非靶机目标，如检测选手有违规攻击行为，警告一次后若继续攻击，判令该队</w:t>
      </w: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</w:rPr>
        <w:t>终止竞赛，清离出场。</w:t>
      </w:r>
    </w:p>
    <w:p>
      <w:pPr>
        <w:pStyle w:val="3"/>
        <w:ind w:firstLine="0" w:firstLineChars="0"/>
        <w:rPr>
          <w:rFonts w:hint="eastAsia" w:ascii="宋体" w:hAnsi="宋体" w:eastAsia="宋体" w:cs="宋体"/>
          <w:lang w:eastAsia="zh-CN"/>
        </w:rPr>
      </w:pPr>
      <w:bookmarkStart w:id="34" w:name="_Toc1003894222"/>
      <w:bookmarkStart w:id="35" w:name="_Toc481314004"/>
      <w:bookmarkStart w:id="36" w:name="_Toc8994"/>
      <w:r>
        <w:rPr>
          <w:rFonts w:hint="eastAsia" w:ascii="宋体" w:hAnsi="宋体" w:eastAsia="宋体" w:cs="宋体"/>
          <w:lang w:eastAsia="zh-CN"/>
        </w:rPr>
        <w:t>3.3命题方式</w:t>
      </w:r>
      <w:bookmarkEnd w:id="34"/>
      <w:bookmarkEnd w:id="35"/>
      <w:bookmarkEnd w:id="36"/>
    </w:p>
    <w:p>
      <w:pPr>
        <w:ind w:firstLine="560"/>
        <w:rPr>
          <w:rFonts w:hint="eastAsia" w:ascii="宋体" w:hAnsi="宋体" w:eastAsia="宋体" w:cs="宋体"/>
          <w:lang w:eastAsia="zh-CN"/>
        </w:rPr>
      </w:pPr>
      <w:bookmarkStart w:id="37" w:name="_Toc481314005"/>
      <w:r>
        <w:rPr>
          <w:rFonts w:hint="eastAsia" w:ascii="宋体" w:hAnsi="宋体" w:eastAsia="宋体" w:cs="宋体"/>
          <w:sz w:val="28"/>
          <w:szCs w:val="28"/>
          <w:lang w:eastAsia="zh-CN"/>
        </w:rPr>
        <w:t>本项目为可以提前公布试题的项目。赛前公布试题（包括赛题、素材、评分细则）。赛前裁判长可结合赛场设备、材料状况，按照本项目试题调整的工作流程和方法，组织裁判人员对已公布的试题进行不超过30%的修改、调整。然后，由裁判长对最终比赛试题签字确认。</w:t>
      </w:r>
    </w:p>
    <w:p>
      <w:pPr>
        <w:pStyle w:val="3"/>
        <w:ind w:firstLine="0" w:firstLineChars="0"/>
        <w:rPr>
          <w:rFonts w:hint="eastAsia" w:ascii="宋体" w:hAnsi="宋体" w:eastAsia="宋体" w:cs="宋体"/>
          <w:lang w:eastAsia="zh-CN"/>
        </w:rPr>
      </w:pPr>
      <w:bookmarkStart w:id="38" w:name="_Toc1055670103"/>
      <w:bookmarkStart w:id="39" w:name="_Toc20755"/>
      <w:r>
        <w:rPr>
          <w:rFonts w:hint="eastAsia" w:ascii="宋体" w:hAnsi="宋体" w:eastAsia="宋体" w:cs="宋体"/>
          <w:lang w:eastAsia="zh-CN"/>
        </w:rPr>
        <w:t>3.5考核时间及地点安排</w:t>
      </w:r>
      <w:bookmarkEnd w:id="38"/>
      <w:bookmarkEnd w:id="39"/>
    </w:p>
    <w:p>
      <w:pPr>
        <w:ind w:firstLine="56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本项目2023年江西省“振兴杯”职业技能大赛决赛考核时间为2023年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，地点</w:t>
      </w:r>
      <w:r>
        <w:rPr>
          <w:rFonts w:hint="eastAsia" w:ascii="宋体" w:hAnsi="宋体" w:eastAsia="宋体" w:cs="宋体"/>
          <w:sz w:val="28"/>
          <w:szCs w:val="28"/>
          <w:lang w:eastAsia="zh-Hans"/>
        </w:rPr>
        <w:t>：丰城高级技工学校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pStyle w:val="2"/>
        <w:spacing w:before="156" w:after="156"/>
        <w:rPr>
          <w:rFonts w:hint="eastAsia" w:ascii="宋体" w:hAnsi="宋体" w:eastAsia="宋体" w:cs="宋体"/>
          <w:sz w:val="36"/>
          <w:szCs w:val="36"/>
          <w:lang w:eastAsia="zh-CN"/>
        </w:rPr>
      </w:pPr>
      <w:bookmarkStart w:id="40" w:name="_Toc137529607"/>
      <w:bookmarkStart w:id="41" w:name="_Toc17582"/>
      <w:bookmarkStart w:id="42" w:name="_Toc9568"/>
      <w:r>
        <w:rPr>
          <w:rFonts w:hint="eastAsia" w:ascii="宋体" w:hAnsi="宋体" w:eastAsia="宋体" w:cs="宋体"/>
          <w:sz w:val="36"/>
          <w:szCs w:val="36"/>
          <w:lang w:eastAsia="zh-CN"/>
        </w:rPr>
        <w:t>4.评分</w:t>
      </w:r>
      <w:bookmarkEnd w:id="37"/>
      <w:r>
        <w:rPr>
          <w:rFonts w:hint="eastAsia" w:ascii="宋体" w:hAnsi="宋体" w:eastAsia="宋体" w:cs="宋体"/>
          <w:sz w:val="36"/>
          <w:szCs w:val="36"/>
          <w:lang w:eastAsia="zh-CN"/>
        </w:rPr>
        <w:t>标准</w:t>
      </w:r>
      <w:bookmarkEnd w:id="40"/>
      <w:bookmarkEnd w:id="41"/>
      <w:bookmarkEnd w:id="42"/>
    </w:p>
    <w:p>
      <w:pPr>
        <w:ind w:firstLine="56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本项目评分标准分为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机器评分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和评价两类。</w:t>
      </w:r>
    </w:p>
    <w:p>
      <w:pPr>
        <w:pStyle w:val="3"/>
        <w:ind w:firstLine="0" w:firstLineChars="0"/>
        <w:rPr>
          <w:rFonts w:hint="eastAsia" w:ascii="宋体" w:hAnsi="宋体" w:eastAsia="宋体" w:cs="宋体"/>
          <w:lang w:eastAsia="zh-CN"/>
        </w:rPr>
      </w:pPr>
      <w:bookmarkStart w:id="43" w:name="_Toc481314006"/>
      <w:bookmarkStart w:id="44" w:name="_Toc31367"/>
      <w:bookmarkStart w:id="45" w:name="_Toc767700677"/>
      <w:r>
        <w:rPr>
          <w:rFonts w:hint="eastAsia" w:ascii="宋体" w:hAnsi="宋体" w:eastAsia="宋体" w:cs="宋体"/>
          <w:lang w:eastAsia="zh-CN"/>
        </w:rPr>
        <w:t>4.1 评价分</w:t>
      </w:r>
      <w:bookmarkEnd w:id="43"/>
      <w:r>
        <w:rPr>
          <w:rFonts w:hint="eastAsia" w:ascii="宋体" w:hAnsi="宋体" w:eastAsia="宋体" w:cs="宋体"/>
          <w:lang w:eastAsia="zh-CN"/>
        </w:rPr>
        <w:t>（主观）</w:t>
      </w:r>
      <w:bookmarkEnd w:id="44"/>
      <w:bookmarkEnd w:id="45"/>
    </w:p>
    <w:p>
      <w:pPr>
        <w:ind w:firstLine="56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评价分（Judgement）打分方式：2名裁判为一组，各自单独评分，计算出平均权重分，计算出实际得分。</w:t>
      </w:r>
    </w:p>
    <w:p>
      <w:pPr>
        <w:ind w:firstLine="56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szCs w:val="28"/>
        </w:rPr>
        <w:t>权重表如下：</w:t>
      </w:r>
    </w:p>
    <w:tbl>
      <w:tblPr>
        <w:tblStyle w:val="10"/>
        <w:tblW w:w="0" w:type="auto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7012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权重分值</w:t>
            </w:r>
          </w:p>
        </w:tc>
        <w:tc>
          <w:tcPr>
            <w:tcW w:w="701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要求描述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10" w:type="dxa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ind w:firstLine="56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0分</w:t>
            </w:r>
          </w:p>
        </w:tc>
        <w:tc>
          <w:tcPr>
            <w:tcW w:w="7012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0" w:firstLineChars="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各方面均低于行业标准，包括“未做尝试”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10" w:type="dxa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ind w:firstLine="56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1分</w:t>
            </w:r>
          </w:p>
        </w:tc>
        <w:tc>
          <w:tcPr>
            <w:tcW w:w="7012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0" w:firstLineChars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达到行业标准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10" w:type="dxa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ind w:firstLine="56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2分</w:t>
            </w:r>
          </w:p>
        </w:tc>
        <w:tc>
          <w:tcPr>
            <w:tcW w:w="7012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0" w:firstLineChars="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达到行业标准，且某些方面超过标准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1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60" w:lineRule="exact"/>
              <w:ind w:firstLine="56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3分</w:t>
            </w:r>
          </w:p>
        </w:tc>
        <w:tc>
          <w:tcPr>
            <w:tcW w:w="701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0" w:firstLineChars="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达到行业期待的优秀水平</w:t>
            </w:r>
          </w:p>
        </w:tc>
      </w:tr>
    </w:tbl>
    <w:p>
      <w:pPr>
        <w:ind w:firstLine="640"/>
        <w:rPr>
          <w:rFonts w:hint="eastAsia" w:ascii="宋体" w:hAnsi="宋体" w:eastAsia="宋体" w:cs="宋体"/>
          <w:lang w:eastAsia="zh-CN"/>
        </w:rPr>
      </w:pPr>
      <w:bookmarkStart w:id="46" w:name="_Toc481314007"/>
    </w:p>
    <w:p>
      <w:pPr>
        <w:pStyle w:val="3"/>
        <w:ind w:firstLine="0" w:firstLineChars="0"/>
        <w:rPr>
          <w:rFonts w:hint="eastAsia" w:ascii="宋体" w:hAnsi="宋体" w:eastAsia="宋体" w:cs="宋体"/>
          <w:lang w:eastAsia="zh-CN"/>
        </w:rPr>
      </w:pPr>
      <w:bookmarkStart w:id="47" w:name="_Toc663527163"/>
      <w:bookmarkStart w:id="48" w:name="_Toc19508"/>
      <w:r>
        <w:rPr>
          <w:rFonts w:hint="eastAsia" w:ascii="宋体" w:hAnsi="宋体" w:eastAsia="宋体" w:cs="宋体"/>
          <w:lang w:eastAsia="zh-CN"/>
        </w:rPr>
        <w:t xml:space="preserve">4.2 </w:t>
      </w:r>
      <w:r>
        <w:rPr>
          <w:rFonts w:hint="eastAsia" w:ascii="宋体" w:hAnsi="宋体" w:cs="宋体"/>
          <w:lang w:val="en-US" w:eastAsia="zh-CN"/>
        </w:rPr>
        <w:t>机器评</w:t>
      </w:r>
      <w:r>
        <w:rPr>
          <w:rFonts w:hint="eastAsia" w:ascii="宋体" w:hAnsi="宋体" w:eastAsia="宋体" w:cs="宋体"/>
          <w:lang w:eastAsia="zh-CN"/>
        </w:rPr>
        <w:t>分</w:t>
      </w:r>
      <w:bookmarkEnd w:id="46"/>
      <w:bookmarkEnd w:id="47"/>
      <w:bookmarkEnd w:id="48"/>
    </w:p>
    <w:p>
      <w:pPr>
        <w:ind w:firstLine="56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bookmarkStart w:id="49" w:name="OLE_LINK10"/>
      <w:bookmarkStart w:id="50" w:name="OLE_LINK9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机器评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分打分方式：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由平台系统对选手提交的答案进行自动评分。</w:t>
      </w:r>
    </w:p>
    <w:bookmarkEnd w:id="49"/>
    <w:bookmarkEnd w:id="50"/>
    <w:p>
      <w:pPr>
        <w:pStyle w:val="3"/>
        <w:ind w:firstLine="0" w:firstLineChars="0"/>
        <w:rPr>
          <w:rFonts w:hint="eastAsia" w:ascii="宋体" w:hAnsi="宋体" w:eastAsia="宋体" w:cs="宋体"/>
        </w:rPr>
      </w:pPr>
      <w:bookmarkStart w:id="51" w:name="_Toc18449670"/>
      <w:bookmarkStart w:id="52" w:name="_Toc19953"/>
      <w:r>
        <w:rPr>
          <w:rFonts w:hint="eastAsia" w:ascii="宋体" w:hAnsi="宋体" w:eastAsia="宋体" w:cs="宋体"/>
        </w:rPr>
        <w:t>4.3评分流程说明</w:t>
      </w:r>
      <w:bookmarkEnd w:id="51"/>
      <w:bookmarkEnd w:id="52"/>
    </w:p>
    <w:p>
      <w:pPr>
        <w:ind w:firstLine="560"/>
        <w:rPr>
          <w:rFonts w:hint="default" w:ascii="宋体" w:hAnsi="宋体" w:eastAsia="宋体" w:cs="宋体"/>
          <w:lang w:val="en-US" w:eastAsia="zh-CN"/>
        </w:rPr>
      </w:pPr>
      <w:bookmarkStart w:id="53" w:name="_Toc481314009"/>
      <w:r>
        <w:rPr>
          <w:rFonts w:hint="eastAsia" w:ascii="宋体" w:hAnsi="宋体" w:eastAsia="宋体" w:cs="宋体"/>
          <w:sz w:val="28"/>
          <w:szCs w:val="28"/>
          <w:lang w:eastAsia="zh-CN"/>
        </w:rPr>
        <w:t>本竞赛的评分方法为结果评分，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A、D模块由评分裁判进行评分，B、C模块由平台系统进行自动评分</w:t>
      </w:r>
    </w:p>
    <w:p>
      <w:pPr>
        <w:pStyle w:val="3"/>
        <w:ind w:firstLine="0" w:firstLineChars="0"/>
        <w:rPr>
          <w:rFonts w:hint="eastAsia" w:ascii="宋体" w:hAnsi="宋体" w:eastAsia="宋体" w:cs="宋体"/>
          <w:lang w:eastAsia="zh-CN"/>
        </w:rPr>
      </w:pPr>
      <w:bookmarkStart w:id="54" w:name="_Toc845958522"/>
      <w:bookmarkStart w:id="55" w:name="_Toc491272210"/>
      <w:bookmarkStart w:id="56" w:name="_Toc13087"/>
      <w:r>
        <w:rPr>
          <w:rFonts w:hint="eastAsia" w:ascii="宋体" w:hAnsi="宋体" w:eastAsia="宋体" w:cs="宋体"/>
          <w:lang w:eastAsia="zh-CN"/>
        </w:rPr>
        <w:t>4.4统分方法</w:t>
      </w:r>
      <w:bookmarkEnd w:id="54"/>
      <w:bookmarkEnd w:id="55"/>
      <w:bookmarkEnd w:id="56"/>
    </w:p>
    <w:p>
      <w:pPr>
        <w:ind w:firstLine="56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赛项最终得分按100分制计分。实际得分采取分项得分、累计总分的计分方式。由裁判长进行复核并统分</w:t>
      </w:r>
      <w:r>
        <w:rPr>
          <w:rFonts w:hint="eastAsia" w:ascii="宋体" w:hAnsi="宋体" w:eastAsia="宋体" w:cs="宋体"/>
          <w:sz w:val="28"/>
          <w:szCs w:val="28"/>
          <w:lang w:eastAsia="zh-Hans"/>
        </w:rPr>
        <w:t>。总成绩相同时，以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B、C模块</w:t>
      </w:r>
      <w:r>
        <w:rPr>
          <w:rFonts w:hint="eastAsia" w:ascii="宋体" w:hAnsi="宋体" w:eastAsia="宋体" w:cs="宋体"/>
          <w:sz w:val="28"/>
          <w:szCs w:val="28"/>
          <w:lang w:eastAsia="zh-Hans"/>
        </w:rPr>
        <w:t>分数高低进行排序，如果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B、C模块</w:t>
      </w:r>
      <w:r>
        <w:rPr>
          <w:rFonts w:hint="eastAsia" w:ascii="宋体" w:hAnsi="宋体" w:eastAsia="宋体" w:cs="宋体"/>
          <w:sz w:val="28"/>
          <w:szCs w:val="28"/>
          <w:lang w:eastAsia="zh-Hans"/>
        </w:rPr>
        <w:t>分数相同，以最后一个正确答案提交时间排序，先提交者在前。</w:t>
      </w:r>
    </w:p>
    <w:p>
      <w:pPr>
        <w:pStyle w:val="3"/>
        <w:ind w:firstLine="0" w:firstLineChars="0"/>
        <w:rPr>
          <w:rFonts w:hint="eastAsia" w:ascii="宋体" w:hAnsi="宋体" w:eastAsia="宋体" w:cs="宋体"/>
          <w:lang w:eastAsia="zh-CN"/>
        </w:rPr>
      </w:pPr>
      <w:bookmarkStart w:id="57" w:name="_Toc6230"/>
      <w:bookmarkStart w:id="58" w:name="_Toc491272211"/>
      <w:bookmarkStart w:id="59" w:name="_Toc1683136114"/>
      <w:r>
        <w:rPr>
          <w:rFonts w:hint="eastAsia" w:ascii="宋体" w:hAnsi="宋体" w:eastAsia="宋体" w:cs="宋体"/>
          <w:lang w:eastAsia="zh-CN"/>
        </w:rPr>
        <w:t>4.5裁判构成和分组</w:t>
      </w:r>
      <w:bookmarkEnd w:id="57"/>
      <w:bookmarkEnd w:id="58"/>
      <w:bookmarkEnd w:id="59"/>
    </w:p>
    <w:p>
      <w:pPr>
        <w:ind w:firstLine="56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4.5.1 裁判组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本赛项设裁判长1名；加密裁判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名；现场裁判2名，评分裁判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名，共计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人。</w:t>
      </w:r>
    </w:p>
    <w:p>
      <w:pPr>
        <w:ind w:firstLine="56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szCs w:val="28"/>
        </w:rPr>
        <w:t>4.5.2 裁判任职条件</w:t>
      </w:r>
    </w:p>
    <w:tbl>
      <w:tblPr>
        <w:tblStyle w:val="10"/>
        <w:tblpPr w:leftFromText="180" w:rightFromText="180" w:vertAnchor="text" w:horzAnchor="page" w:tblpX="1479" w:tblpY="230"/>
        <w:tblOverlap w:val="never"/>
        <w:tblW w:w="88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303"/>
        <w:gridCol w:w="1742"/>
        <w:gridCol w:w="1834"/>
        <w:gridCol w:w="2530"/>
        <w:gridCol w:w="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tblHeader/>
        </w:trPr>
        <w:tc>
          <w:tcPr>
            <w:tcW w:w="68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1303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裁判</w:t>
            </w:r>
          </w:p>
        </w:tc>
        <w:tc>
          <w:tcPr>
            <w:tcW w:w="174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专业技术方向</w:t>
            </w:r>
          </w:p>
        </w:tc>
        <w:tc>
          <w:tcPr>
            <w:tcW w:w="1834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Hans"/>
              </w:rPr>
              <w:t>执裁</w:t>
            </w:r>
            <w:r>
              <w:rPr>
                <w:rFonts w:hint="eastAsia" w:ascii="宋体" w:hAnsi="宋体" w:eastAsia="宋体" w:cs="宋体"/>
                <w:sz w:val="24"/>
              </w:rPr>
              <w:t>经历</w:t>
            </w:r>
          </w:p>
        </w:tc>
        <w:tc>
          <w:tcPr>
            <w:tcW w:w="253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专业技术职称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（职业资格等级）</w:t>
            </w:r>
          </w:p>
        </w:tc>
        <w:tc>
          <w:tcPr>
            <w:tcW w:w="71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tblHeader/>
        </w:trPr>
        <w:tc>
          <w:tcPr>
            <w:tcW w:w="68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1303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加密裁判</w:t>
            </w:r>
          </w:p>
        </w:tc>
        <w:tc>
          <w:tcPr>
            <w:tcW w:w="174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Hans"/>
              </w:rPr>
              <w:t>电子信息大类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相关专业</w:t>
            </w:r>
          </w:p>
        </w:tc>
        <w:tc>
          <w:tcPr>
            <w:tcW w:w="1834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Hans"/>
              </w:rPr>
              <w:t>市级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及以上赛事执裁经历</w:t>
            </w:r>
          </w:p>
        </w:tc>
        <w:tc>
          <w:tcPr>
            <w:tcW w:w="253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中级及以上专业技术资格或中级技师职业资格</w:t>
            </w:r>
          </w:p>
        </w:tc>
        <w:tc>
          <w:tcPr>
            <w:tcW w:w="71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tblHeader/>
        </w:trPr>
        <w:tc>
          <w:tcPr>
            <w:tcW w:w="68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1303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现场裁判</w:t>
            </w:r>
          </w:p>
        </w:tc>
        <w:tc>
          <w:tcPr>
            <w:tcW w:w="174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Hans"/>
              </w:rPr>
              <w:t>电子信息大类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相关专业</w:t>
            </w:r>
          </w:p>
        </w:tc>
        <w:tc>
          <w:tcPr>
            <w:tcW w:w="1834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Hans"/>
              </w:rPr>
              <w:t>市级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及以上电子信息大类执裁经历</w:t>
            </w:r>
          </w:p>
        </w:tc>
        <w:tc>
          <w:tcPr>
            <w:tcW w:w="253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中级及以上专业技术资格或中级技师职业资格</w:t>
            </w:r>
          </w:p>
        </w:tc>
        <w:tc>
          <w:tcPr>
            <w:tcW w:w="71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tblHeader/>
        </w:trPr>
        <w:tc>
          <w:tcPr>
            <w:tcW w:w="68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1303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评分裁判</w:t>
            </w:r>
            <w:r>
              <w:rPr>
                <w:rFonts w:hint="eastAsia" w:ascii="宋体" w:hAnsi="宋体" w:eastAsia="宋体" w:cs="宋体"/>
                <w:sz w:val="24"/>
                <w:lang w:eastAsia="zh-Hans"/>
              </w:rPr>
              <w:t>（含裁判长）</w:t>
            </w:r>
          </w:p>
        </w:tc>
        <w:tc>
          <w:tcPr>
            <w:tcW w:w="174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Hans"/>
              </w:rPr>
              <w:t>电子信息大类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相关专业</w:t>
            </w:r>
          </w:p>
        </w:tc>
        <w:tc>
          <w:tcPr>
            <w:tcW w:w="1834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Hans"/>
              </w:rPr>
              <w:t>省级及以上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电子信息大类执裁经历</w:t>
            </w:r>
          </w:p>
        </w:tc>
        <w:tc>
          <w:tcPr>
            <w:tcW w:w="253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副高及以上专业技术资格或高级技师职业资格</w:t>
            </w:r>
          </w:p>
        </w:tc>
        <w:tc>
          <w:tcPr>
            <w:tcW w:w="71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</w:p>
        </w:tc>
      </w:tr>
    </w:tbl>
    <w:p>
      <w:pPr>
        <w:ind w:firstLine="56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4.5.3 分工方案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bookmarkStart w:id="60" w:name="_Toc1814069714"/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裁判组下设若干裁判小组，每个裁判只能参加一个小组的执裁工作，各小组独立负责各自任务部分的竞赛过程的完整工作，相互之间不相重合。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本项目的裁判必须严格按照执裁流程和裁判岗位内容完成执裁工作，包括相关竞赛技术性文件学习。在执裁过程中需要全程参加整个执裁和评分过程，包括赛前的准备工作，场地、设备准备与检验，竞赛试题的调整与试做，评分标准的制定与确认，选手进场的抽签，执裁过程中的监督与问题处理，评分，竞赛成绩的汇总、审核、确认等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1.裁判长负责裁判组的技术工作，裁判的具体工作由裁判长在裁判培训会议上布置，裁判在执裁中必须服从裁判长和组委会的管理，遵守裁判的职业道德，文明裁判。</w:t>
      </w:r>
    </w:p>
    <w:p>
      <w:pPr>
        <w:spacing w:line="360" w:lineRule="auto"/>
        <w:ind w:firstLine="560" w:firstLineChars="200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bookmarkStart w:id="61" w:name="_Toc15112"/>
      <w:bookmarkStart w:id="62" w:name="_Toc28312"/>
      <w:bookmarkStart w:id="63" w:name="_Toc15175"/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2.裁判长根据工作需要和培训情况，对裁判员进行工作分工。</w:t>
      </w:r>
      <w:bookmarkEnd w:id="61"/>
      <w:bookmarkEnd w:id="62"/>
      <w:bookmarkEnd w:id="63"/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3.裁判员应坚守岗位，不迟到早退。无特殊情况不得在竞赛期间请假。在执裁过程中需要暂时离开的，必须向裁判长申请，得到许可后方可离开。</w:t>
      </w:r>
    </w:p>
    <w:p>
      <w:pPr>
        <w:spacing w:line="360" w:lineRule="auto"/>
        <w:ind w:firstLine="560" w:firstLineChars="200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bookmarkStart w:id="64" w:name="_Toc11775"/>
      <w:bookmarkStart w:id="65" w:name="_Toc19856"/>
      <w:bookmarkStart w:id="66" w:name="_Toc21448"/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4.裁判员在执裁过程中不得故意妨碍、影响任何选手的操作。</w:t>
      </w:r>
      <w:bookmarkEnd w:id="64"/>
      <w:bookmarkEnd w:id="65"/>
      <w:bookmarkEnd w:id="66"/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5.裁判员在处理竞赛过程中选手提问的时候，不得单独行动，需要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名以上裁判一起进行处理（裁判不得参入自己选手问题的处理）。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6.裁判在执裁过程中必须遵守“公正、公开、公平”的竞赛原则，严格按照竞赛技术规则和评分标准进行裁判。裁判员必须按照评分标准的要求操作步骤进行操作，不得对选手的配置做任何修改和调整。如出现不同意见，由各项目裁判小组长召集小组裁判员共同讨论解决，并报备给裁判长裁定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7.裁判员应根据技术文件要求做好试题保密工作。同时在大赛组委会正式公布成绩和名次前，裁判员不得对外透露选手的成绩和排名情况。</w:t>
      </w:r>
    </w:p>
    <w:p>
      <w:pPr>
        <w:spacing w:line="360" w:lineRule="auto"/>
        <w:ind w:firstLine="560" w:firstLineChars="200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bookmarkStart w:id="67" w:name="_Toc662"/>
      <w:bookmarkStart w:id="68" w:name="_Toc8308"/>
      <w:bookmarkStart w:id="69" w:name="_Toc28960"/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8.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裁判员在执裁期间，手机等电子产品需统一管理。</w:t>
      </w:r>
      <w:bookmarkEnd w:id="67"/>
      <w:bookmarkEnd w:id="68"/>
      <w:bookmarkEnd w:id="69"/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9.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裁判员必须按照竞赛的日程安排到岗，不得无故迟到早退、离岗。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10.裁判员在参加赛前赛题讨论会时要严格遵守会议纪律，会议期间不能携带手机、相机等电子产品对会场进行录音和拍照，不能私自带走比赛讨论资料。</w:t>
      </w:r>
    </w:p>
    <w:p>
      <w:pPr>
        <w:pStyle w:val="2"/>
        <w:spacing w:before="156" w:after="156"/>
        <w:rPr>
          <w:rFonts w:hint="eastAsia" w:ascii="宋体" w:hAnsi="宋体" w:eastAsia="宋体" w:cs="宋体"/>
          <w:i/>
          <w:lang w:eastAsia="zh-CN"/>
        </w:rPr>
      </w:pPr>
      <w:bookmarkStart w:id="70" w:name="_Toc21497"/>
      <w:bookmarkStart w:id="71" w:name="_Toc14440"/>
      <w:r>
        <w:rPr>
          <w:rFonts w:hint="eastAsia" w:ascii="宋体" w:hAnsi="宋体" w:eastAsia="宋体" w:cs="宋体"/>
          <w:sz w:val="36"/>
          <w:szCs w:val="36"/>
          <w:lang w:eastAsia="zh-CN"/>
        </w:rPr>
        <w:t>5.竞赛相关设施设备</w:t>
      </w:r>
      <w:bookmarkEnd w:id="53"/>
      <w:bookmarkEnd w:id="60"/>
      <w:bookmarkEnd w:id="70"/>
      <w:bookmarkEnd w:id="71"/>
      <w:bookmarkStart w:id="72" w:name="_Toc481314010"/>
    </w:p>
    <w:p>
      <w:pPr>
        <w:pStyle w:val="3"/>
        <w:ind w:firstLine="0" w:firstLineChars="0"/>
        <w:rPr>
          <w:rFonts w:hint="eastAsia" w:ascii="宋体" w:hAnsi="宋体" w:eastAsia="宋体" w:cs="宋体"/>
          <w:lang w:eastAsia="zh-CN"/>
        </w:rPr>
      </w:pPr>
      <w:bookmarkStart w:id="73" w:name="_Toc22015"/>
      <w:bookmarkStart w:id="74" w:name="_Toc1244346739"/>
      <w:r>
        <w:rPr>
          <w:rFonts w:hint="eastAsia" w:ascii="宋体" w:hAnsi="宋体" w:eastAsia="宋体" w:cs="宋体"/>
          <w:lang w:eastAsia="zh-CN"/>
        </w:rPr>
        <w:t>5.1场地设备</w:t>
      </w:r>
      <w:bookmarkEnd w:id="73"/>
      <w:bookmarkEnd w:id="74"/>
    </w:p>
    <w:p>
      <w:pPr>
        <w:ind w:firstLine="56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竞赛在室内进行，竞赛现场设置场内竞赛区、现场裁判工作区、技术支持区，场外互动区等。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技术支持保障人员在技术支持服务区候场，有需要时在现场裁判的带领下到相关的工位进行赛场技术支持保障。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独立工位的竞赛场地确保参赛队之间互不干扰。每个工位上标明编号，配有一台电脑、一张桌子、一把椅子。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赛场基础设施要求：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）工作台内提供有220V交流电源。各工位分区供电，强电弱电分开布线。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）采用双路供电；利用UPS防止现场因突然断电导致的系统数据丢失，额定功率：3KVA，后备时间：2小时，电池类型：输出电压：230V±5%V。 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）竞赛现场符合消防安全规定，现场消防器材和消防栓合格有效，应急照明设施状态合格，赛场明显位置张贴紧急疏散图，赛场出入口专人负责，随时保证安全通道的畅通无阻。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）竞赛现场需通风良好、照明需符合教室采光规范。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）赛场配备电子监控系统。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竞赛现场具体软硬件需求如下表：</w:t>
      </w:r>
    </w:p>
    <w:p>
      <w:pPr>
        <w:ind w:firstLine="560"/>
        <w:jc w:val="center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表1：相关设施器材硬件配置参数（每队）</w:t>
      </w:r>
    </w:p>
    <w:tbl>
      <w:tblPr>
        <w:tblStyle w:val="10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5292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19" w:type="dxa"/>
          </w:tcPr>
          <w:p>
            <w:pPr>
              <w:pStyle w:val="13"/>
              <w:snapToGrid w:val="0"/>
              <w:ind w:firstLine="480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设备名称</w:t>
            </w:r>
          </w:p>
        </w:tc>
        <w:tc>
          <w:tcPr>
            <w:tcW w:w="5292" w:type="dxa"/>
          </w:tcPr>
          <w:p>
            <w:pPr>
              <w:pStyle w:val="13"/>
              <w:snapToGrid w:val="0"/>
              <w:ind w:firstLine="480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设备参数</w:t>
            </w:r>
          </w:p>
        </w:tc>
        <w:tc>
          <w:tcPr>
            <w:tcW w:w="1507" w:type="dxa"/>
          </w:tcPr>
          <w:p>
            <w:pPr>
              <w:pStyle w:val="13"/>
              <w:snapToGrid w:val="0"/>
              <w:ind w:firstLine="480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719" w:type="dxa"/>
            <w:vAlign w:val="center"/>
          </w:tcPr>
          <w:p>
            <w:pPr>
              <w:pStyle w:val="13"/>
              <w:snapToGrid w:val="0"/>
              <w:ind w:firstLine="480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计算机</w:t>
            </w:r>
          </w:p>
        </w:tc>
        <w:tc>
          <w:tcPr>
            <w:tcW w:w="5292" w:type="dxa"/>
            <w:vAlign w:val="center"/>
          </w:tcPr>
          <w:p>
            <w:pPr>
              <w:pStyle w:val="13"/>
              <w:snapToGrid w:val="0"/>
              <w:ind w:firstLine="480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显示器：22英寸（分辨率1920*1080）及以上</w:t>
            </w:r>
          </w:p>
          <w:p>
            <w:pPr>
              <w:pStyle w:val="13"/>
              <w:snapToGrid w:val="0"/>
              <w:ind w:firstLine="480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键鼠：1套（配鼠标垫）</w:t>
            </w:r>
          </w:p>
          <w:p>
            <w:pPr>
              <w:pStyle w:val="13"/>
              <w:snapToGrid w:val="0"/>
              <w:ind w:firstLine="480" w:firstLineChars="200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CPU：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主频&gt;=2.8GHZ</w:t>
            </w:r>
          </w:p>
          <w:p>
            <w:pPr>
              <w:pStyle w:val="13"/>
              <w:snapToGrid w:val="0"/>
              <w:ind w:firstLine="480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内存：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</w:rPr>
              <w:t>GB 及以上</w:t>
            </w:r>
          </w:p>
          <w:p>
            <w:pPr>
              <w:pStyle w:val="13"/>
              <w:snapToGrid w:val="0"/>
              <w:ind w:firstLine="480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硬盘：200GB以上</w:t>
            </w:r>
          </w:p>
        </w:tc>
        <w:tc>
          <w:tcPr>
            <w:tcW w:w="1507" w:type="dxa"/>
            <w:vAlign w:val="center"/>
          </w:tcPr>
          <w:p>
            <w:pPr>
              <w:pStyle w:val="13"/>
              <w:snapToGrid w:val="0"/>
              <w:ind w:firstLine="480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719" w:type="dxa"/>
            <w:vAlign w:val="center"/>
          </w:tcPr>
          <w:p>
            <w:pPr>
              <w:pStyle w:val="13"/>
              <w:snapToGrid w:val="0"/>
              <w:ind w:firstLine="480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U盘</w:t>
            </w:r>
          </w:p>
        </w:tc>
        <w:tc>
          <w:tcPr>
            <w:tcW w:w="5292" w:type="dxa"/>
            <w:vAlign w:val="center"/>
          </w:tcPr>
          <w:p>
            <w:pPr>
              <w:pStyle w:val="13"/>
              <w:snapToGrid w:val="0"/>
              <w:ind w:firstLine="480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16GB及以上容量</w:t>
            </w:r>
          </w:p>
        </w:tc>
        <w:tc>
          <w:tcPr>
            <w:tcW w:w="1507" w:type="dxa"/>
            <w:vAlign w:val="center"/>
          </w:tcPr>
          <w:p>
            <w:pPr>
              <w:pStyle w:val="13"/>
              <w:snapToGrid w:val="0"/>
              <w:ind w:firstLine="480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个</w:t>
            </w:r>
          </w:p>
        </w:tc>
      </w:tr>
    </w:tbl>
    <w:p>
      <w:pPr>
        <w:ind w:firstLine="560"/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表2：相关设施器材软件配置参数</w:t>
      </w:r>
    </w:p>
    <w:tbl>
      <w:tblPr>
        <w:tblStyle w:val="10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552"/>
        <w:gridCol w:w="1546"/>
        <w:gridCol w:w="38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555" w:type="dxa"/>
            <w:vAlign w:val="center"/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3098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基本材料名称</w:t>
            </w:r>
          </w:p>
        </w:tc>
        <w:tc>
          <w:tcPr>
            <w:tcW w:w="3869" w:type="dxa"/>
            <w:vAlign w:val="center"/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版本信息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555" w:type="dxa"/>
            <w:vAlign w:val="center"/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098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物理机安装操作系统</w:t>
            </w:r>
          </w:p>
        </w:tc>
        <w:tc>
          <w:tcPr>
            <w:tcW w:w="3869" w:type="dxa"/>
            <w:vAlign w:val="center"/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微软 Windows 7(64位)中文试用版或微软 Windows 10(64位)中文试用版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555" w:type="dxa"/>
            <w:vAlign w:val="center"/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3098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虚拟机安装操作系统（Windows系统）</w:t>
            </w:r>
          </w:p>
        </w:tc>
        <w:tc>
          <w:tcPr>
            <w:tcW w:w="3869" w:type="dxa"/>
            <w:vAlign w:val="center"/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Windows XP、Windows 7、Windows 10、Windows Server2003及以上版本（根据命题实际确定）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55" w:type="dxa"/>
            <w:vAlign w:val="center"/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3098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虚拟机安装操作系统（Linux系统）</w:t>
            </w:r>
          </w:p>
        </w:tc>
        <w:tc>
          <w:tcPr>
            <w:tcW w:w="3869" w:type="dxa"/>
            <w:vAlign w:val="center"/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Ubuntu、Debian、CentOS（具体版本根据命题实际确定）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552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其他主要应用软件</w:t>
            </w:r>
          </w:p>
        </w:tc>
        <w:tc>
          <w:tcPr>
            <w:tcW w:w="1546" w:type="dxa"/>
            <w:vAlign w:val="center"/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VMware workstation</w:t>
            </w:r>
          </w:p>
        </w:tc>
        <w:tc>
          <w:tcPr>
            <w:tcW w:w="3869" w:type="dxa"/>
            <w:vAlign w:val="top"/>
          </w:tcPr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VMware workstation 12 pro 及以上版本免费版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52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46" w:type="dxa"/>
            <w:vAlign w:val="center"/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Putty</w:t>
            </w:r>
          </w:p>
        </w:tc>
        <w:tc>
          <w:tcPr>
            <w:tcW w:w="3869" w:type="dxa"/>
            <w:vAlign w:val="top"/>
          </w:tcPr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Putty 0.67及以上版本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52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46" w:type="dxa"/>
            <w:vAlign w:val="center"/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Python</w:t>
            </w:r>
          </w:p>
        </w:tc>
        <w:tc>
          <w:tcPr>
            <w:tcW w:w="3869" w:type="dxa"/>
            <w:vAlign w:val="top"/>
          </w:tcPr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Python 3及以上版本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52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546" w:type="dxa"/>
            <w:vAlign w:val="center"/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Chrome 浏览器</w:t>
            </w:r>
          </w:p>
        </w:tc>
        <w:tc>
          <w:tcPr>
            <w:tcW w:w="3869" w:type="dxa"/>
            <w:vAlign w:val="top"/>
          </w:tcPr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Chrome 浏览器 62.0及以上版本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52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546" w:type="dxa"/>
            <w:vAlign w:val="center"/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WPS</w:t>
            </w:r>
          </w:p>
        </w:tc>
        <w:tc>
          <w:tcPr>
            <w:tcW w:w="3869" w:type="dxa"/>
            <w:vAlign w:val="top"/>
          </w:tcPr>
          <w:p>
            <w:pPr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ind w:firstLine="640"/>
        <w:rPr>
          <w:rFonts w:hint="eastAsia" w:ascii="宋体" w:hAnsi="宋体" w:eastAsia="宋体" w:cs="宋体"/>
          <w:sz w:val="28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>注：实际竞赛环境可能不仅限于以上软件</w:t>
      </w:r>
    </w:p>
    <w:p>
      <w:pPr>
        <w:pStyle w:val="3"/>
        <w:ind w:firstLine="0" w:firstLineChars="0"/>
        <w:rPr>
          <w:rFonts w:hint="eastAsia" w:ascii="宋体" w:hAnsi="宋体" w:eastAsia="宋体" w:cs="宋体"/>
          <w:lang w:val="en-US" w:eastAsia="zh-CN"/>
        </w:rPr>
      </w:pPr>
      <w:bookmarkStart w:id="75" w:name="_Toc22192"/>
      <w:r>
        <w:rPr>
          <w:rFonts w:hint="eastAsia" w:ascii="宋体" w:hAnsi="宋体" w:eastAsia="宋体" w:cs="宋体"/>
          <w:lang w:val="en-US" w:eastAsia="zh-CN"/>
        </w:rPr>
        <w:t>5.2比赛器材</w:t>
      </w:r>
      <w:bookmarkEnd w:id="75"/>
    </w:p>
    <w:tbl>
      <w:tblPr>
        <w:tblStyle w:val="15"/>
        <w:tblW w:w="8700" w:type="dxa"/>
        <w:tblInd w:w="-17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0"/>
        <w:gridCol w:w="2112"/>
        <w:gridCol w:w="1009"/>
        <w:gridCol w:w="43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1250" w:type="dxa"/>
            <w:vAlign w:val="center"/>
          </w:tcPr>
          <w:p>
            <w:pPr>
              <w:pStyle w:val="14"/>
              <w:spacing w:before="253" w:line="222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112" w:type="dxa"/>
            <w:vAlign w:val="center"/>
          </w:tcPr>
          <w:p>
            <w:pPr>
              <w:pStyle w:val="14"/>
              <w:spacing w:before="253" w:line="221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设备名称</w:t>
            </w:r>
          </w:p>
        </w:tc>
        <w:tc>
          <w:tcPr>
            <w:tcW w:w="1009" w:type="dxa"/>
            <w:vAlign w:val="center"/>
          </w:tcPr>
          <w:p>
            <w:pPr>
              <w:pStyle w:val="14"/>
              <w:spacing w:before="253" w:line="223" w:lineRule="auto"/>
              <w:ind w:left="0" w:leftChars="0" w:firstLine="224" w:firstLineChars="1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数量</w:t>
            </w:r>
          </w:p>
        </w:tc>
        <w:tc>
          <w:tcPr>
            <w:tcW w:w="4329" w:type="dxa"/>
            <w:vAlign w:val="center"/>
          </w:tcPr>
          <w:p>
            <w:pPr>
              <w:pStyle w:val="14"/>
              <w:spacing w:before="253" w:line="224" w:lineRule="auto"/>
              <w:ind w:firstLine="1392" w:firstLineChars="6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设备型号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2" w:hRule="atLeast"/>
        </w:trPr>
        <w:tc>
          <w:tcPr>
            <w:tcW w:w="1250" w:type="dxa"/>
            <w:vAlign w:val="top"/>
          </w:tcPr>
          <w:p>
            <w:pPr>
              <w:spacing w:line="269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spacing w:line="269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spacing w:line="269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spacing w:line="269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spacing w:line="269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spacing w:line="269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spacing w:line="269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spacing w:line="270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pStyle w:val="14"/>
              <w:spacing w:before="78" w:line="181" w:lineRule="auto"/>
              <w:ind w:left="31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112" w:type="dxa"/>
            <w:vAlign w:val="top"/>
          </w:tcPr>
          <w:p>
            <w:pPr>
              <w:spacing w:line="262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spacing w:line="262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spacing w:line="262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spacing w:line="262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spacing w:line="262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spacing w:line="262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spacing w:line="262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pStyle w:val="14"/>
              <w:spacing w:before="1" w:line="220" w:lineRule="auto"/>
              <w:ind w:left="121"/>
              <w:jc w:val="center"/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  <w:lang w:val="en-US" w:eastAsia="zh-CN"/>
              </w:rPr>
            </w:pPr>
          </w:p>
          <w:p>
            <w:pPr>
              <w:pStyle w:val="14"/>
              <w:spacing w:before="1" w:line="22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  <w:lang w:val="en-US" w:eastAsia="zh-CN"/>
              </w:rPr>
              <w:t>网络安全竞赛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平台</w:t>
            </w:r>
          </w:p>
        </w:tc>
        <w:tc>
          <w:tcPr>
            <w:tcW w:w="1009" w:type="dxa"/>
            <w:vAlign w:val="top"/>
          </w:tcPr>
          <w:p>
            <w:pPr>
              <w:spacing w:line="269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spacing w:line="269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spacing w:line="269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spacing w:line="269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spacing w:line="269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spacing w:line="269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spacing w:line="269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spacing w:line="270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pStyle w:val="14"/>
              <w:spacing w:before="78" w:line="181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4329" w:type="dxa"/>
            <w:vAlign w:val="top"/>
          </w:tcPr>
          <w:p>
            <w:pPr>
              <w:numPr>
                <w:ilvl w:val="0"/>
                <w:numId w:val="2"/>
              </w:numPr>
              <w:spacing w:before="247" w:line="360" w:lineRule="auto"/>
              <w:ind w:left="117" w:leftChars="0" w:right="35" w:rightChars="0" w:firstLine="8" w:firstLineChars="0"/>
              <w:rPr>
                <w:rFonts w:hint="eastAsia" w:asciiTheme="minorEastAsia" w:hAnsiTheme="minorEastAsia" w:eastAsiaTheme="minorEastAsia" w:cstheme="minorEastAsia"/>
                <w:spacing w:val="6"/>
                <w:sz w:val="23"/>
                <w:szCs w:val="23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3"/>
                <w:szCs w:val="23"/>
              </w:rPr>
              <w:t>能完成基础设施设置、安全加固、安全事件响应、网络安全数据取证、应用安全、CTF夺旗攻击、CTF夺旗防御等知识、技能内容的竞赛环境实现，能有效支持300人规模，具备基于本规程竞赛内容同一场景集中答题环境。</w:t>
            </w:r>
          </w:p>
          <w:p>
            <w:pPr>
              <w:numPr>
                <w:ilvl w:val="0"/>
                <w:numId w:val="2"/>
              </w:numPr>
              <w:spacing w:before="247" w:line="360" w:lineRule="auto"/>
              <w:ind w:left="117" w:leftChars="0" w:right="35" w:rightChars="0" w:firstLine="8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3"/>
                <w:szCs w:val="23"/>
              </w:rPr>
              <w:t>标配2个千兆以太口，Intel处理器，大于等于16G内存，SSD+SATA硬盘。可扩展多种虚拟化平台，支持集群管理，同步采用增量备份的方式，虚拟化管理采用标准libvirt接口；支持多用户并发在线竞赛，根据不同的实战任务下发进行自动调度靶机虚拟化模板，全程无需手工配置地址，VLAN与IP可根据竞赛要求自行设定；提供单兵闯关、分组混战等实际对战模式，阶段间无需人工切换，系统自动处理；</w:t>
            </w:r>
            <w:r>
              <w:rPr>
                <w:rFonts w:hint="eastAsia" w:asciiTheme="minorEastAsia" w:hAnsiTheme="minorEastAsia" w:eastAsiaTheme="minorEastAsia" w:cstheme="minorEastAsia"/>
                <w:spacing w:val="8"/>
                <w:sz w:val="23"/>
                <w:szCs w:val="23"/>
              </w:rPr>
              <w:t>提供超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23"/>
                <w:szCs w:val="23"/>
              </w:rPr>
              <w:t>过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3"/>
                <w:szCs w:val="23"/>
              </w:rPr>
              <w:t>20种不同级别70个的攻防场景；模块</w:t>
            </w: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</w:rPr>
              <w:t>B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3"/>
                <w:szCs w:val="23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</w:rPr>
              <w:t>C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23"/>
                <w:szCs w:val="23"/>
              </w:rPr>
              <w:t>全过程自动评判，支持竞赛过程图像元素上传，</w:t>
            </w: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</w:rPr>
              <w:t>排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3"/>
                <w:szCs w:val="23"/>
              </w:rPr>
              <w:t>名判定策略大于等于12种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3"/>
                <w:szCs w:val="23"/>
              </w:rPr>
              <w:t>；自定义动画态势展示，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3"/>
                <w:szCs w:val="23"/>
              </w:rPr>
              <w:t>成绩详细分析；支持监控异常虚拟机，同时检测FT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3"/>
                <w:szCs w:val="23"/>
              </w:rPr>
              <w:t>P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3"/>
                <w:szCs w:val="23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3"/>
                <w:szCs w:val="23"/>
              </w:rPr>
              <w:t>HTTP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3"/>
                <w:szCs w:val="23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3"/>
                <w:szCs w:val="23"/>
              </w:rPr>
              <w:t>ICMP、SMTP、SSH、TCP和UDP协议，服务</w:t>
            </w:r>
            <w:r>
              <w:rPr>
                <w:rFonts w:hint="eastAsia" w:asciiTheme="minorEastAsia" w:hAnsiTheme="minorEastAsia" w:eastAsiaTheme="minorEastAsia" w:cstheme="minorEastAsia"/>
                <w:spacing w:val="8"/>
                <w:sz w:val="23"/>
                <w:szCs w:val="23"/>
              </w:rPr>
              <w:t>端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3"/>
                <w:szCs w:val="23"/>
              </w:rPr>
              <w:t>口支持在有效范围内的服务端口；支持全程加密，</w:t>
            </w:r>
            <w:r>
              <w:rPr>
                <w:rFonts w:hint="eastAsia" w:asciiTheme="minorEastAsia" w:hAnsiTheme="minorEastAsia" w:eastAsiaTheme="minorEastAsia" w:cstheme="minorEastAsia"/>
                <w:spacing w:val="18"/>
                <w:sz w:val="23"/>
                <w:szCs w:val="23"/>
              </w:rPr>
              <w:t>支</w:t>
            </w:r>
            <w:r>
              <w:rPr>
                <w:rFonts w:hint="eastAsia" w:asciiTheme="minorEastAsia" w:hAnsiTheme="minorEastAsia" w:eastAsiaTheme="minorEastAsia" w:cstheme="minorEastAsia"/>
                <w:spacing w:val="17"/>
                <w:sz w:val="23"/>
                <w:szCs w:val="23"/>
              </w:rPr>
              <w:t>持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23"/>
                <w:szCs w:val="23"/>
              </w:rPr>
              <w:t>加密文件导入，加密方式为非对称加密，设备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23"/>
                <w:szCs w:val="23"/>
              </w:rPr>
              <w:t>能随机生成密码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3"/>
                <w:szCs w:val="23"/>
              </w:rPr>
              <w:t>。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pStyle w:val="2"/>
        <w:spacing w:before="156" w:after="156"/>
        <w:rPr>
          <w:rFonts w:hint="default" w:ascii="宋体" w:hAnsi="宋体" w:eastAsia="宋体" w:cs="宋体"/>
          <w:sz w:val="36"/>
          <w:szCs w:val="36"/>
          <w:lang w:val="en-US" w:eastAsia="zh-CN"/>
        </w:rPr>
      </w:pPr>
      <w:bookmarkStart w:id="76" w:name="_Toc1539887887"/>
      <w:bookmarkStart w:id="77" w:name="_Toc3756"/>
      <w:bookmarkStart w:id="78" w:name="_Toc27907"/>
      <w:r>
        <w:rPr>
          <w:rFonts w:hint="eastAsia" w:ascii="宋体" w:hAnsi="宋体" w:eastAsia="宋体" w:cs="宋体"/>
          <w:sz w:val="36"/>
          <w:szCs w:val="36"/>
        </w:rPr>
        <w:t>6.</w:t>
      </w:r>
      <w:bookmarkEnd w:id="76"/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选手须知</w:t>
      </w:r>
      <w:bookmarkEnd w:id="77"/>
      <w:bookmarkEnd w:id="78"/>
    </w:p>
    <w:p>
      <w:pPr>
        <w:ind w:firstLine="640"/>
        <w:rPr>
          <w:rFonts w:hint="eastAsia" w:ascii="宋体" w:hAnsi="宋体" w:eastAsia="宋体" w:cs="宋体"/>
          <w:sz w:val="28"/>
          <w:szCs w:val="22"/>
          <w:lang w:val="en-US" w:eastAsia="zh-CN"/>
        </w:rPr>
      </w:pPr>
      <w:bookmarkStart w:id="79" w:name="_Toc491272214"/>
      <w:bookmarkStart w:id="80" w:name="_Toc1570286812"/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>（1）.各参赛选手要发扬良好道德风尚，听从指挥，服从裁判，不弄虚作假。如发现弄虚作假者，取消参赛资格，名次无效。</w:t>
      </w:r>
    </w:p>
    <w:p>
      <w:pPr>
        <w:ind w:firstLine="640"/>
        <w:outlineLvl w:val="9"/>
        <w:rPr>
          <w:rFonts w:hint="eastAsia" w:ascii="宋体" w:hAnsi="宋体" w:eastAsia="宋体" w:cs="宋体"/>
          <w:sz w:val="28"/>
          <w:szCs w:val="22"/>
          <w:lang w:val="en-US" w:eastAsia="zh-CN"/>
        </w:rPr>
      </w:pPr>
      <w:bookmarkStart w:id="81" w:name="_Toc6857"/>
      <w:bookmarkStart w:id="82" w:name="_Toc25991"/>
      <w:bookmarkStart w:id="83" w:name="_Toc21290"/>
      <w:bookmarkStart w:id="84" w:name="_Toc10597"/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>（2）.参赛选手应按有关要求如实填报个人信息，否则取消竞赛资</w:t>
      </w:r>
      <w:bookmarkEnd w:id="81"/>
      <w:bookmarkEnd w:id="82"/>
      <w:bookmarkEnd w:id="83"/>
      <w:bookmarkEnd w:id="84"/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>格。</w:t>
      </w:r>
    </w:p>
    <w:p>
      <w:pPr>
        <w:ind w:firstLine="640"/>
        <w:rPr>
          <w:rFonts w:hint="eastAsia" w:ascii="宋体" w:hAnsi="宋体" w:eastAsia="宋体" w:cs="宋体"/>
          <w:sz w:val="28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>（3）.参赛选手应按照规定时间抵达赛场，凭统一印制的参赛证、有效身份证件检录，按要求入场，不得迟到早退。请勿携带任何电子设备及其他资料、用品进入赛场。</w:t>
      </w:r>
    </w:p>
    <w:p>
      <w:pPr>
        <w:ind w:firstLine="640"/>
        <w:outlineLvl w:val="9"/>
        <w:rPr>
          <w:rFonts w:hint="eastAsia" w:ascii="宋体" w:hAnsi="宋体" w:eastAsia="宋体" w:cs="宋体"/>
          <w:sz w:val="28"/>
          <w:szCs w:val="22"/>
          <w:lang w:val="en-US" w:eastAsia="zh-CN"/>
        </w:rPr>
      </w:pPr>
      <w:bookmarkStart w:id="85" w:name="_Toc9112"/>
      <w:bookmarkStart w:id="86" w:name="_Toc20841"/>
      <w:bookmarkStart w:id="87" w:name="_Toc12960"/>
      <w:bookmarkStart w:id="88" w:name="_Toc2527"/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>（4）.参加选手应认真学习领会本次竞赛相关文件，自觉遵守大赛</w:t>
      </w:r>
      <w:bookmarkEnd w:id="85"/>
      <w:bookmarkEnd w:id="86"/>
      <w:bookmarkEnd w:id="87"/>
      <w:bookmarkEnd w:id="88"/>
    </w:p>
    <w:p>
      <w:pPr>
        <w:ind w:left="0" w:leftChars="0" w:firstLine="0" w:firstLineChars="0"/>
        <w:rPr>
          <w:rFonts w:hint="eastAsia" w:ascii="宋体" w:hAnsi="宋体" w:eastAsia="宋体" w:cs="宋体"/>
          <w:sz w:val="28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>纪律，服从指挥，听从安排，文明参赛。</w:t>
      </w:r>
    </w:p>
    <w:p>
      <w:pPr>
        <w:ind w:firstLine="640"/>
        <w:rPr>
          <w:rFonts w:hint="eastAsia" w:ascii="宋体" w:hAnsi="宋体" w:eastAsia="宋体" w:cs="宋体"/>
          <w:sz w:val="28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>（5）.参赛选手应增强角色意识，科学合理做好时间分配。</w:t>
      </w:r>
    </w:p>
    <w:p>
      <w:pPr>
        <w:ind w:firstLine="640"/>
        <w:rPr>
          <w:rFonts w:hint="eastAsia" w:ascii="宋体" w:hAnsi="宋体" w:eastAsia="宋体" w:cs="宋体"/>
          <w:sz w:val="28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>（6）.参赛选手应按有关要求在指定位置就坐。</w:t>
      </w:r>
    </w:p>
    <w:p>
      <w:pPr>
        <w:ind w:firstLine="640"/>
        <w:rPr>
          <w:rFonts w:hint="eastAsia" w:ascii="宋体" w:hAnsi="宋体" w:eastAsia="宋体" w:cs="宋体"/>
          <w:sz w:val="28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>（7）.参赛选手须在确认竞赛内容和现场设备等无误后开始竞赛。在竞赛过程中，确因计算机软件或硬件故障，致使操作无法继续的，经项目裁判长确认，予以启用备用计算机。</w:t>
      </w:r>
    </w:p>
    <w:p>
      <w:pPr>
        <w:ind w:firstLine="640"/>
        <w:outlineLvl w:val="9"/>
        <w:rPr>
          <w:rFonts w:hint="eastAsia" w:ascii="宋体" w:hAnsi="宋体" w:eastAsia="宋体" w:cs="宋体"/>
          <w:sz w:val="28"/>
          <w:szCs w:val="22"/>
          <w:lang w:val="en-US" w:eastAsia="zh-CN"/>
        </w:rPr>
      </w:pPr>
      <w:bookmarkStart w:id="89" w:name="_Toc4965"/>
      <w:bookmarkStart w:id="90" w:name="_Toc30496"/>
      <w:bookmarkStart w:id="91" w:name="_Toc9754"/>
      <w:bookmarkStart w:id="92" w:name="_Toc13552"/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>（8）.各参赛选手必须按规范要求操作竞赛设备。一旦出现较严重</w:t>
      </w:r>
      <w:bookmarkEnd w:id="89"/>
      <w:bookmarkEnd w:id="90"/>
      <w:bookmarkEnd w:id="91"/>
      <w:bookmarkEnd w:id="92"/>
    </w:p>
    <w:p>
      <w:pPr>
        <w:ind w:left="0" w:leftChars="0" w:firstLine="0" w:firstLineChars="0"/>
        <w:rPr>
          <w:rFonts w:hint="eastAsia" w:ascii="宋体" w:hAnsi="宋体" w:eastAsia="宋体" w:cs="宋体"/>
          <w:sz w:val="28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>的安全事故，经总裁判长批准后将立即取消其参赛资格。</w:t>
      </w:r>
    </w:p>
    <w:p>
      <w:pPr>
        <w:ind w:firstLine="640"/>
        <w:rPr>
          <w:rFonts w:hint="eastAsia" w:ascii="宋体" w:hAnsi="宋体" w:eastAsia="宋体" w:cs="宋体"/>
          <w:sz w:val="28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>（9）.参赛选手需详细阅读赛题中竞赛文档命名的要求，不得在提交的竞赛文档中标识出任何关于参赛选手地名、校名、姓名、参赛编号等信息，否则取消竞赛成绩。</w:t>
      </w:r>
    </w:p>
    <w:p>
      <w:pPr>
        <w:ind w:firstLine="640"/>
        <w:rPr>
          <w:rFonts w:hint="eastAsia" w:ascii="宋体" w:hAnsi="宋体" w:eastAsia="宋体" w:cs="宋体"/>
          <w:sz w:val="28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>（10）.竞赛时间终了，选手应全体起立，结束操作，将资料和工具整齐摆放在操作平台上，经工作人员清点后可离开赛场。离开赛场时不得带走任何资料。</w:t>
      </w:r>
    </w:p>
    <w:p>
      <w:pPr>
        <w:ind w:firstLine="640"/>
        <w:outlineLvl w:val="9"/>
        <w:rPr>
          <w:rFonts w:hint="eastAsia" w:ascii="宋体" w:hAnsi="宋体" w:eastAsia="宋体" w:cs="宋体"/>
          <w:sz w:val="28"/>
          <w:szCs w:val="22"/>
          <w:lang w:val="en-US" w:eastAsia="zh-CN"/>
        </w:rPr>
      </w:pPr>
      <w:bookmarkStart w:id="93" w:name="_Toc6439"/>
      <w:bookmarkStart w:id="94" w:name="_Toc19690"/>
      <w:bookmarkStart w:id="95" w:name="_Toc5481"/>
      <w:bookmarkStart w:id="96" w:name="_Toc10194"/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>（11).在竞赛期间，未经执委会批准，参赛选手不得接受其他单位</w:t>
      </w:r>
      <w:bookmarkEnd w:id="93"/>
      <w:bookmarkEnd w:id="94"/>
      <w:bookmarkEnd w:id="95"/>
      <w:bookmarkEnd w:id="96"/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>和个人进行的与竞赛内容相关的采访。参赛选手不得将竞赛的相关信息私自公布。</w:t>
      </w:r>
    </w:p>
    <w:p>
      <w:pPr>
        <w:numPr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>(12).参赛选手若对竞赛过程有异议，在规定的时间内经由领队向赛项仲裁工作组提出书面报告。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6"/>
          <w:szCs w:val="36"/>
          <w:lang w:eastAsia="zh-CN"/>
        </w:rPr>
      </w:pPr>
    </w:p>
    <w:p>
      <w:pPr>
        <w:numPr>
          <w:ilvl w:val="0"/>
          <w:numId w:val="0"/>
        </w:numPr>
        <w:outlineLvl w:val="0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bookmarkStart w:id="97" w:name="_Toc19372"/>
      <w:bookmarkStart w:id="98" w:name="_Toc14700"/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7.赛场布局要求</w:t>
      </w:r>
      <w:bookmarkEnd w:id="79"/>
      <w:bookmarkEnd w:id="80"/>
      <w:bookmarkEnd w:id="97"/>
      <w:bookmarkEnd w:id="98"/>
    </w:p>
    <w:p>
      <w:pPr>
        <w:ind w:firstLine="560"/>
        <w:rPr>
          <w:rFonts w:hint="eastAsia" w:ascii="宋体" w:hAnsi="宋体" w:eastAsia="宋体" w:cs="宋体"/>
          <w:bCs/>
          <w:sz w:val="44"/>
          <w:szCs w:val="44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竞赛场地划分为检录区、现场服务与技术支持区、休息区、医疗区、观摩通道（视赛场布局进行安排设置）等。</w:t>
      </w:r>
    </w:p>
    <w:bookmarkEnd w:id="72"/>
    <w:p>
      <w:pPr>
        <w:pStyle w:val="2"/>
        <w:spacing w:before="156" w:after="156"/>
        <w:rPr>
          <w:rFonts w:hint="eastAsia" w:ascii="宋体" w:hAnsi="宋体" w:eastAsia="宋体" w:cs="宋体"/>
          <w:sz w:val="36"/>
          <w:szCs w:val="36"/>
          <w:lang w:eastAsia="zh-CN"/>
        </w:rPr>
      </w:pPr>
      <w:bookmarkStart w:id="99" w:name="_Toc481314011"/>
      <w:bookmarkStart w:id="100" w:name="_Toc18952"/>
      <w:bookmarkStart w:id="101" w:name="_Toc1383911301"/>
      <w:bookmarkStart w:id="102" w:name="_Toc4154"/>
      <w:r>
        <w:rPr>
          <w:rFonts w:hint="eastAsia" w:ascii="宋体" w:hAnsi="宋体" w:eastAsia="宋体" w:cs="宋体"/>
          <w:sz w:val="36"/>
          <w:szCs w:val="36"/>
          <w:lang w:eastAsia="zh-CN"/>
        </w:rPr>
        <w:t>8.健康安全</w:t>
      </w:r>
      <w:bookmarkEnd w:id="99"/>
      <w:r>
        <w:rPr>
          <w:rFonts w:hint="eastAsia" w:ascii="宋体" w:hAnsi="宋体" w:eastAsia="宋体" w:cs="宋体"/>
          <w:sz w:val="36"/>
          <w:szCs w:val="36"/>
          <w:lang w:eastAsia="zh-CN"/>
        </w:rPr>
        <w:t>和绿色环保</w:t>
      </w:r>
      <w:bookmarkEnd w:id="100"/>
      <w:bookmarkEnd w:id="101"/>
      <w:bookmarkEnd w:id="102"/>
    </w:p>
    <w:p>
      <w:pPr>
        <w:pStyle w:val="3"/>
        <w:ind w:firstLine="0" w:firstLineChars="0"/>
        <w:rPr>
          <w:rFonts w:hint="eastAsia" w:ascii="宋体" w:hAnsi="宋体" w:eastAsia="宋体" w:cs="宋体"/>
          <w:lang w:eastAsia="zh-CN"/>
        </w:rPr>
      </w:pPr>
      <w:bookmarkStart w:id="103" w:name="_Toc31874"/>
      <w:bookmarkStart w:id="104" w:name="_Toc1855250"/>
      <w:bookmarkStart w:id="105" w:name="_Toc481314012"/>
      <w:r>
        <w:rPr>
          <w:rFonts w:hint="eastAsia" w:ascii="宋体" w:hAnsi="宋体" w:eastAsia="宋体" w:cs="宋体"/>
          <w:lang w:val="en-US" w:eastAsia="zh-CN"/>
        </w:rPr>
        <w:t>8.1</w:t>
      </w:r>
      <w:r>
        <w:rPr>
          <w:rFonts w:hint="eastAsia" w:ascii="宋体" w:hAnsi="宋体" w:eastAsia="宋体" w:cs="宋体"/>
          <w:lang w:eastAsia="zh-CN"/>
        </w:rPr>
        <w:t>环境保护</w:t>
      </w:r>
      <w:bookmarkEnd w:id="103"/>
      <w:bookmarkEnd w:id="104"/>
    </w:p>
    <w:p>
      <w:pPr>
        <w:ind w:firstLine="56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大赛应注重环境保护，绝不允许破坏环境。</w:t>
      </w:r>
    </w:p>
    <w:p>
      <w:pPr>
        <w:pStyle w:val="3"/>
        <w:ind w:firstLine="0" w:firstLineChars="0"/>
        <w:rPr>
          <w:rFonts w:hint="eastAsia" w:ascii="宋体" w:hAnsi="宋体" w:eastAsia="宋体" w:cs="宋体"/>
          <w:lang w:eastAsia="zh-CN"/>
        </w:rPr>
      </w:pPr>
      <w:bookmarkStart w:id="106" w:name="_Toc1116415692"/>
      <w:bookmarkStart w:id="107" w:name="_Toc21632"/>
      <w:r>
        <w:rPr>
          <w:rFonts w:hint="eastAsia" w:ascii="宋体" w:hAnsi="宋体" w:eastAsia="宋体" w:cs="宋体"/>
          <w:lang w:val="en-US" w:eastAsia="zh-CN"/>
        </w:rPr>
        <w:t>8.2</w:t>
      </w:r>
      <w:r>
        <w:rPr>
          <w:rFonts w:hint="eastAsia" w:ascii="宋体" w:hAnsi="宋体" w:eastAsia="宋体" w:cs="宋体"/>
          <w:lang w:eastAsia="zh-CN"/>
        </w:rPr>
        <w:t>循环利用</w:t>
      </w:r>
      <w:bookmarkEnd w:id="106"/>
      <w:bookmarkEnd w:id="107"/>
    </w:p>
    <w:p>
      <w:pPr>
        <w:ind w:firstLine="56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大赛期间产生的废料必须分类收集和回收。</w:t>
      </w:r>
    </w:p>
    <w:p>
      <w:pPr>
        <w:pStyle w:val="2"/>
        <w:spacing w:before="156" w:after="156"/>
        <w:rPr>
          <w:rFonts w:hint="eastAsia" w:ascii="宋体" w:hAnsi="宋体" w:eastAsia="宋体" w:cs="宋体"/>
          <w:sz w:val="36"/>
          <w:szCs w:val="36"/>
          <w:lang w:eastAsia="zh-CN"/>
        </w:rPr>
      </w:pPr>
      <w:bookmarkStart w:id="108" w:name="_Toc31607"/>
      <w:bookmarkStart w:id="109" w:name="_Toc22001"/>
      <w:bookmarkStart w:id="110" w:name="_Toc1033911605"/>
      <w:r>
        <w:rPr>
          <w:rFonts w:hint="eastAsia" w:ascii="宋体" w:hAnsi="宋体" w:eastAsia="宋体" w:cs="宋体"/>
          <w:sz w:val="36"/>
          <w:szCs w:val="36"/>
          <w:lang w:eastAsia="zh-CN"/>
        </w:rPr>
        <w:t>9.开放赛场</w:t>
      </w:r>
      <w:bookmarkEnd w:id="105"/>
      <w:bookmarkEnd w:id="108"/>
      <w:bookmarkEnd w:id="109"/>
      <w:bookmarkEnd w:id="110"/>
    </w:p>
    <w:p>
      <w:pPr>
        <w:ind w:firstLine="56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赛场开放，公众可在赛场开放区域自由观摩，但不能妨碍选手比赛，不得进入竞赛区域。具体开放视比赛场地布局在赛项说明会另行通知。</w:t>
      </w:r>
    </w:p>
    <w:p>
      <w:pPr>
        <w:rPr>
          <w:rFonts w:hint="eastAsia" w:ascii="宋体" w:hAnsi="宋体" w:eastAsia="宋体" w:cs="宋体"/>
        </w:rPr>
      </w:pPr>
    </w:p>
    <w:sectPr>
      <w:footerReference r:id="rId10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127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127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90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0" w:leftChars="0" w:firstLine="0" w:firstLineChars="0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5F187C"/>
    <w:multiLevelType w:val="singleLevel"/>
    <w:tmpl w:val="8D5F187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E500537"/>
    <w:multiLevelType w:val="singleLevel"/>
    <w:tmpl w:val="DE5005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wYTI5YjYyYzAxNjljNDI3MTk0NDM2OGQ0NzMwODIifQ=="/>
  </w:docVars>
  <w:rsids>
    <w:rsidRoot w:val="3F0366A1"/>
    <w:rsid w:val="0D3C5D9A"/>
    <w:rsid w:val="3F03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</w:pPr>
    <w:rPr>
      <w:rFonts w:ascii="Times New Roman" w:hAnsi="Times New Roman" w:eastAsia="仿宋_GB2312" w:cs="Times New Roman"/>
      <w:color w:val="000000"/>
      <w:kern w:val="0"/>
      <w:sz w:val="32"/>
      <w:szCs w:val="24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firstLine="0" w:firstLineChars="0"/>
      <w:outlineLvl w:val="0"/>
    </w:pPr>
    <w:rPr>
      <w:rFonts w:eastAsia="黑体" w:cs="微软雅黑"/>
      <w:b/>
      <w:szCs w:val="44"/>
      <w:lang w:val="zh-CN" w:bidi="zh-CN"/>
    </w:rPr>
  </w:style>
  <w:style w:type="paragraph" w:styleId="3">
    <w:name w:val="heading 2"/>
    <w:basedOn w:val="1"/>
    <w:next w:val="1"/>
    <w:qFormat/>
    <w:uiPriority w:val="1"/>
    <w:pPr>
      <w:outlineLvl w:val="1"/>
    </w:pPr>
    <w:rPr>
      <w:rFonts w:eastAsia="宋体" w:cs="宋体"/>
      <w:b/>
      <w:bCs/>
      <w:szCs w:val="32"/>
      <w:lang w:val="zh-CN" w:bidi="zh-CN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unhideWhenUsed/>
    <w:qFormat/>
    <w:uiPriority w:val="99"/>
    <w:pPr>
      <w:spacing w:after="12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</w:pPr>
    <w:rPr>
      <w:rFonts w:asciiTheme="minorHAnsi" w:hAnsiTheme="minorHAnsi" w:eastAsiaTheme="minorEastAsia" w:cstheme="minorBidi"/>
      <w:color w:val="auto"/>
      <w:kern w:val="2"/>
      <w:sz w:val="18"/>
      <w:szCs w:val="18"/>
      <w:lang w:eastAsia="zh-CN" w:bidi="ar-SA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color w:val="auto"/>
      <w:kern w:val="2"/>
      <w:sz w:val="18"/>
      <w:szCs w:val="18"/>
      <w:lang w:eastAsia="zh-CN" w:bidi="ar-SA"/>
    </w:rPr>
  </w:style>
  <w:style w:type="paragraph" w:styleId="7">
    <w:name w:val="toc 1"/>
    <w:basedOn w:val="1"/>
    <w:next w:val="1"/>
    <w:qFormat/>
    <w:uiPriority w:val="39"/>
  </w:style>
  <w:style w:type="paragraph" w:styleId="8">
    <w:name w:val="toc 2"/>
    <w:basedOn w:val="1"/>
    <w:next w:val="1"/>
    <w:qFormat/>
    <w:uiPriority w:val="39"/>
    <w:pPr>
      <w:ind w:left="420" w:leftChars="200"/>
    </w:pPr>
  </w:style>
  <w:style w:type="paragraph" w:styleId="9">
    <w:name w:val="Body Text First Indent"/>
    <w:basedOn w:val="4"/>
    <w:qFormat/>
    <w:uiPriority w:val="0"/>
    <w:pPr>
      <w:ind w:firstLine="420" w:firstLineChars="100"/>
    </w:pPr>
    <w:rPr>
      <w:rFonts w:ascii="MT Extra" w:hAnsi="MT Extra" w:cs="MT Extra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华文中宋" w:hAnsi="Calibri" w:eastAsia="华文中宋" w:cs="华文中宋"/>
      <w:color w:val="000000"/>
      <w:kern w:val="0"/>
      <w:sz w:val="24"/>
      <w:szCs w:val="24"/>
      <w:lang w:val="en-US" w:eastAsia="zh-CN" w:bidi="ar-SA"/>
    </w:rPr>
  </w:style>
  <w:style w:type="paragraph" w:customStyle="1" w:styleId="14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WPSOffice手动目录 1"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17">
    <w:name w:val="WPSOffice手动目录 2"/>
    <w:qFormat/>
    <w:uiPriority w:val="0"/>
    <w:pPr>
      <w:ind w:leftChars="20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2023-08-28T02:47:00Z</dcterms:created>
  <dc:creator>夫君ꦿ℘</dc:creator>
  <cp:lastModifiedBy>夫君ꦿ℘</cp:lastModifiedBy>
  <dcterms:modified xsi:type="dcterms:W3CDTF">2023-08-28T08:28:50Z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AC95A10EA50C4B498612F0558BE0CFC6_11</vt:lpwstr>
  </property>
</Properties>
</file>